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22" w:type="dxa"/>
        <w:tblLayout w:type="fixed"/>
        <w:tblLook w:val="0000" w:firstRow="0" w:lastRow="0" w:firstColumn="0" w:lastColumn="0" w:noHBand="0" w:noVBand="0"/>
      </w:tblPr>
      <w:tblGrid>
        <w:gridCol w:w="5920"/>
        <w:gridCol w:w="3402"/>
      </w:tblGrid>
      <w:tr w:rsidR="00B84929" w:rsidRPr="007214D1" w:rsidTr="00744438">
        <w:trPr>
          <w:cantSplit/>
          <w:trHeight w:val="992"/>
        </w:trPr>
        <w:tc>
          <w:tcPr>
            <w:tcW w:w="5920" w:type="dxa"/>
          </w:tcPr>
          <w:p w:rsidR="002B7DC4" w:rsidRDefault="00B84929" w:rsidP="002B7DC4">
            <w:pPr>
              <w:pStyle w:val="BodyText"/>
              <w:jc w:val="left"/>
              <w:rPr>
                <w:rFonts w:ascii="Arial" w:hAnsi="Arial" w:cs="Arial"/>
                <w:szCs w:val="24"/>
              </w:rPr>
            </w:pPr>
            <w:r>
              <w:rPr>
                <w:rFonts w:ascii="Arial" w:hAnsi="Arial" w:cs="Arial"/>
                <w:szCs w:val="24"/>
              </w:rPr>
              <w:t xml:space="preserve">HIGH LIFE HIGHLAND </w:t>
            </w:r>
          </w:p>
          <w:p w:rsidR="002B7DC4" w:rsidRDefault="00834D42" w:rsidP="002B7DC4">
            <w:pPr>
              <w:pStyle w:val="BodyText"/>
              <w:jc w:val="left"/>
              <w:rPr>
                <w:rFonts w:ascii="Arial" w:hAnsi="Arial" w:cs="Arial"/>
                <w:szCs w:val="24"/>
              </w:rPr>
            </w:pPr>
            <w:r>
              <w:rPr>
                <w:rFonts w:ascii="Arial" w:hAnsi="Arial" w:cs="Arial"/>
                <w:szCs w:val="24"/>
              </w:rPr>
              <w:t xml:space="preserve">REPORT TO </w:t>
            </w:r>
            <w:r w:rsidR="005B1FBD">
              <w:rPr>
                <w:rFonts w:ascii="Arial" w:hAnsi="Arial" w:cs="Arial"/>
                <w:szCs w:val="24"/>
              </w:rPr>
              <w:t>HIGH LIFE HIGHLAND BOARD</w:t>
            </w:r>
          </w:p>
          <w:p w:rsidR="00B84929" w:rsidRPr="007214D1" w:rsidRDefault="005B1FBD" w:rsidP="00D83AD1">
            <w:pPr>
              <w:pStyle w:val="BodyText"/>
              <w:jc w:val="left"/>
              <w:rPr>
                <w:rFonts w:ascii="Arial" w:hAnsi="Arial" w:cs="Arial"/>
                <w:szCs w:val="24"/>
              </w:rPr>
            </w:pPr>
            <w:r>
              <w:rPr>
                <w:rFonts w:ascii="Arial" w:hAnsi="Arial" w:cs="Arial"/>
                <w:szCs w:val="24"/>
              </w:rPr>
              <w:t>27</w:t>
            </w:r>
            <w:r w:rsidR="00A74875">
              <w:rPr>
                <w:rFonts w:ascii="Arial" w:hAnsi="Arial" w:cs="Arial"/>
                <w:szCs w:val="24"/>
              </w:rPr>
              <w:t xml:space="preserve"> </w:t>
            </w:r>
            <w:r w:rsidR="006148EE">
              <w:rPr>
                <w:rFonts w:ascii="Arial" w:hAnsi="Arial" w:cs="Arial"/>
                <w:szCs w:val="24"/>
              </w:rPr>
              <w:t>August 201</w:t>
            </w:r>
            <w:r w:rsidR="00D83AD1">
              <w:rPr>
                <w:rFonts w:ascii="Arial" w:hAnsi="Arial" w:cs="Arial"/>
                <w:szCs w:val="24"/>
              </w:rPr>
              <w:t>9</w:t>
            </w:r>
            <w:r w:rsidR="00B84929" w:rsidRPr="007214D1">
              <w:rPr>
                <w:rFonts w:ascii="Arial" w:hAnsi="Arial" w:cs="Arial"/>
                <w:szCs w:val="24"/>
              </w:rPr>
              <w:fldChar w:fldCharType="begin"/>
            </w:r>
            <w:r w:rsidR="00B84929" w:rsidRPr="007214D1">
              <w:rPr>
                <w:rFonts w:ascii="Arial" w:hAnsi="Arial" w:cs="Arial"/>
                <w:szCs w:val="24"/>
              </w:rPr>
              <w:instrText xml:space="preserve">  </w:instrText>
            </w:r>
            <w:r w:rsidR="00B84929" w:rsidRPr="007214D1">
              <w:rPr>
                <w:rFonts w:ascii="Arial" w:hAnsi="Arial" w:cs="Arial"/>
                <w:szCs w:val="24"/>
              </w:rPr>
              <w:fldChar w:fldCharType="end"/>
            </w:r>
          </w:p>
        </w:tc>
        <w:tc>
          <w:tcPr>
            <w:tcW w:w="3402" w:type="dxa"/>
          </w:tcPr>
          <w:p w:rsidR="0052022D" w:rsidRDefault="009A3F45" w:rsidP="00DA0419">
            <w:pPr>
              <w:ind w:left="-108"/>
              <w:rPr>
                <w:rFonts w:ascii="Arial" w:hAnsi="Arial" w:cs="Arial"/>
                <w:szCs w:val="24"/>
              </w:rPr>
            </w:pPr>
            <w:r>
              <w:rPr>
                <w:rFonts w:ascii="Arial" w:hAnsi="Arial" w:cs="Arial"/>
                <w:szCs w:val="24"/>
              </w:rPr>
              <w:t>AGENDA ITEM</w:t>
            </w:r>
            <w:r w:rsidR="009D7C6A">
              <w:rPr>
                <w:rFonts w:ascii="Arial" w:hAnsi="Arial" w:cs="Arial"/>
                <w:szCs w:val="24"/>
              </w:rPr>
              <w:t xml:space="preserve"> </w:t>
            </w:r>
            <w:r w:rsidR="00C61C65">
              <w:rPr>
                <w:rFonts w:ascii="Arial" w:hAnsi="Arial" w:cs="Arial"/>
                <w:szCs w:val="24"/>
              </w:rPr>
              <w:t xml:space="preserve"> </w:t>
            </w:r>
          </w:p>
          <w:p w:rsidR="00B84929" w:rsidRPr="00834D42" w:rsidRDefault="00B84929" w:rsidP="00D83AD1">
            <w:pPr>
              <w:ind w:left="-108"/>
              <w:rPr>
                <w:rFonts w:ascii="Arial" w:hAnsi="Arial" w:cs="Arial"/>
                <w:szCs w:val="24"/>
              </w:rPr>
            </w:pPr>
            <w:r w:rsidRPr="00834D42">
              <w:rPr>
                <w:rFonts w:ascii="Arial" w:hAnsi="Arial" w:cs="Arial"/>
                <w:szCs w:val="24"/>
              </w:rPr>
              <w:t xml:space="preserve">REPORT No </w:t>
            </w:r>
            <w:r w:rsidR="00AA2832">
              <w:rPr>
                <w:rFonts w:ascii="Arial" w:hAnsi="Arial" w:cs="Arial"/>
                <w:szCs w:val="24"/>
              </w:rPr>
              <w:t>HLH</w:t>
            </w:r>
            <w:r w:rsidR="00335450">
              <w:rPr>
                <w:rFonts w:ascii="Arial" w:hAnsi="Arial" w:cs="Arial"/>
                <w:szCs w:val="24"/>
              </w:rPr>
              <w:t>/</w:t>
            </w:r>
            <w:r w:rsidR="005B1FBD">
              <w:rPr>
                <w:rFonts w:ascii="Arial" w:hAnsi="Arial" w:cs="Arial"/>
                <w:szCs w:val="24"/>
              </w:rPr>
              <w:t xml:space="preserve">   </w:t>
            </w:r>
            <w:r w:rsidR="00A54120">
              <w:rPr>
                <w:rFonts w:ascii="Arial" w:hAnsi="Arial" w:cs="Arial"/>
                <w:szCs w:val="24"/>
              </w:rPr>
              <w:t>/</w:t>
            </w:r>
            <w:r w:rsidR="00D83AD1">
              <w:rPr>
                <w:rFonts w:ascii="Arial" w:hAnsi="Arial" w:cs="Arial"/>
                <w:szCs w:val="24"/>
              </w:rPr>
              <w:t>19</w:t>
            </w:r>
          </w:p>
        </w:tc>
      </w:tr>
    </w:tbl>
    <w:p w:rsidR="0039450A" w:rsidRPr="007214D1" w:rsidRDefault="00C60F5A" w:rsidP="00834D42">
      <w:pPr>
        <w:pStyle w:val="Heading2"/>
        <w:rPr>
          <w:rFonts w:ascii="Arial" w:hAnsi="Arial" w:cs="Arial"/>
          <w:b/>
          <w:szCs w:val="24"/>
          <w:u w:val="none"/>
        </w:rPr>
      </w:pPr>
      <w:r>
        <w:rPr>
          <w:rFonts w:ascii="Arial" w:hAnsi="Arial" w:cs="Arial"/>
          <w:b/>
          <w:szCs w:val="24"/>
          <w:u w:val="none"/>
        </w:rPr>
        <w:t>GENDER PAY GAP</w:t>
      </w:r>
      <w:r w:rsidR="00834D42">
        <w:rPr>
          <w:rFonts w:ascii="Arial" w:hAnsi="Arial" w:cs="Arial"/>
          <w:b/>
          <w:szCs w:val="24"/>
          <w:u w:val="none"/>
        </w:rPr>
        <w:t xml:space="preserve"> - </w:t>
      </w:r>
      <w:r w:rsidR="0039450A" w:rsidRPr="007214D1">
        <w:rPr>
          <w:rFonts w:ascii="Arial" w:hAnsi="Arial" w:cs="Arial"/>
          <w:b/>
          <w:szCs w:val="24"/>
          <w:u w:val="none"/>
        </w:rPr>
        <w:t xml:space="preserve">Report </w:t>
      </w:r>
      <w:r w:rsidR="00A8159A">
        <w:rPr>
          <w:rFonts w:ascii="Arial" w:hAnsi="Arial" w:cs="Arial"/>
          <w:b/>
          <w:szCs w:val="24"/>
          <w:u w:val="none"/>
        </w:rPr>
        <w:t>by</w:t>
      </w:r>
      <w:r w:rsidR="002B7DC4">
        <w:rPr>
          <w:rFonts w:ascii="Arial" w:hAnsi="Arial" w:cs="Arial"/>
          <w:b/>
          <w:szCs w:val="24"/>
          <w:u w:val="none"/>
        </w:rPr>
        <w:t xml:space="preserve"> </w:t>
      </w:r>
      <w:r w:rsidR="00B96369">
        <w:rPr>
          <w:rFonts w:ascii="Arial" w:hAnsi="Arial" w:cs="Arial"/>
          <w:b/>
          <w:szCs w:val="24"/>
          <w:u w:val="none"/>
        </w:rPr>
        <w:t>Chief Executive</w:t>
      </w:r>
    </w:p>
    <w:p w:rsidR="0039450A" w:rsidRPr="007214D1" w:rsidRDefault="0039450A" w:rsidP="00834D42">
      <w:pPr>
        <w:pStyle w:val="Heading1"/>
        <w:jc w:val="left"/>
        <w:rPr>
          <w:rFonts w:ascii="Arial" w:hAnsi="Arial" w:cs="Arial"/>
          <w:szCs w:val="24"/>
        </w:rPr>
      </w:pPr>
      <w:r w:rsidRPr="007214D1">
        <w:rPr>
          <w:rFonts w:ascii="Arial" w:hAnsi="Arial" w:cs="Arial"/>
          <w:szCs w:val="24"/>
        </w:rPr>
        <w:fldChar w:fldCharType="begin"/>
      </w:r>
      <w:r w:rsidRPr="007214D1">
        <w:rPr>
          <w:rFonts w:ascii="Arial" w:hAnsi="Arial" w:cs="Arial"/>
          <w:szCs w:val="24"/>
        </w:rPr>
        <w:instrText xml:space="preserve">  </w:instrText>
      </w:r>
      <w:r w:rsidRPr="007214D1">
        <w:rPr>
          <w:rFonts w:ascii="Arial" w:hAnsi="Arial" w:cs="Arial"/>
          <w:szCs w:val="24"/>
        </w:rPr>
        <w:fldChar w:fldCharType="end"/>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851"/>
        <w:gridCol w:w="8363"/>
      </w:tblGrid>
      <w:tr w:rsidR="0039450A" w:rsidRPr="007214D1" w:rsidTr="00743F49">
        <w:trPr>
          <w:cantSplit/>
        </w:trPr>
        <w:tc>
          <w:tcPr>
            <w:tcW w:w="9322" w:type="dxa"/>
            <w:gridSpan w:val="3"/>
          </w:tcPr>
          <w:p w:rsidR="0039450A" w:rsidRDefault="002B7DC4" w:rsidP="00416BFF">
            <w:pPr>
              <w:pStyle w:val="Heading2"/>
              <w:rPr>
                <w:rFonts w:ascii="Arial" w:hAnsi="Arial" w:cs="Arial"/>
                <w:b/>
                <w:szCs w:val="24"/>
                <w:u w:val="none"/>
              </w:rPr>
            </w:pPr>
            <w:r w:rsidRPr="002B7DC4">
              <w:rPr>
                <w:rFonts w:ascii="Arial" w:hAnsi="Arial" w:cs="Arial"/>
                <w:b/>
                <w:szCs w:val="24"/>
                <w:u w:val="none"/>
              </w:rPr>
              <w:t>Summary</w:t>
            </w:r>
          </w:p>
          <w:p w:rsidR="002B7DC4" w:rsidRDefault="002B7DC4" w:rsidP="002B7DC4"/>
          <w:p w:rsidR="001837F1" w:rsidRDefault="001837F1" w:rsidP="001837F1">
            <w:pPr>
              <w:jc w:val="both"/>
              <w:rPr>
                <w:rFonts w:ascii="Arial" w:hAnsi="Arial" w:cs="Arial"/>
              </w:rPr>
            </w:pPr>
            <w:r>
              <w:rPr>
                <w:rFonts w:ascii="Arial" w:hAnsi="Arial" w:cs="Arial"/>
              </w:rPr>
              <w:t>This report provides</w:t>
            </w:r>
            <w:r w:rsidR="00D64017">
              <w:rPr>
                <w:rFonts w:ascii="Arial" w:hAnsi="Arial" w:cs="Arial"/>
              </w:rPr>
              <w:t xml:space="preserve"> proposed con</w:t>
            </w:r>
            <w:r w:rsidR="008C318E">
              <w:rPr>
                <w:rFonts w:ascii="Arial" w:hAnsi="Arial" w:cs="Arial"/>
              </w:rPr>
              <w:t>t</w:t>
            </w:r>
            <w:r w:rsidR="00D64017">
              <w:rPr>
                <w:rFonts w:ascii="Arial" w:hAnsi="Arial" w:cs="Arial"/>
              </w:rPr>
              <w:t>ent to meet legal reporting requirements on</w:t>
            </w:r>
            <w:r w:rsidR="00D9403E">
              <w:rPr>
                <w:rFonts w:ascii="Arial" w:hAnsi="Arial" w:cs="Arial"/>
              </w:rPr>
              <w:t xml:space="preserve"> High Life Highland’s Gender Pay Gap</w:t>
            </w:r>
            <w:r>
              <w:rPr>
                <w:rFonts w:ascii="Arial" w:hAnsi="Arial" w:cs="Arial"/>
              </w:rPr>
              <w:t>.</w:t>
            </w:r>
          </w:p>
          <w:p w:rsidR="001837F1" w:rsidRDefault="001837F1" w:rsidP="001837F1">
            <w:pPr>
              <w:jc w:val="both"/>
              <w:rPr>
                <w:rFonts w:ascii="Arial" w:hAnsi="Arial" w:cs="Arial"/>
              </w:rPr>
            </w:pPr>
          </w:p>
          <w:p w:rsidR="001837F1" w:rsidRDefault="001837F1" w:rsidP="001837F1">
            <w:pPr>
              <w:jc w:val="both"/>
              <w:rPr>
                <w:rFonts w:ascii="Arial" w:hAnsi="Arial" w:cs="Arial"/>
              </w:rPr>
            </w:pPr>
            <w:r w:rsidRPr="00CC3428">
              <w:rPr>
                <w:rFonts w:ascii="Arial" w:hAnsi="Arial" w:cs="Arial"/>
              </w:rPr>
              <w:t xml:space="preserve">It is recommended that </w:t>
            </w:r>
            <w:r w:rsidR="005B1FBD">
              <w:rPr>
                <w:rFonts w:ascii="Arial" w:hAnsi="Arial" w:cs="Arial"/>
              </w:rPr>
              <w:t>Directors</w:t>
            </w:r>
            <w:r>
              <w:rPr>
                <w:rFonts w:ascii="Arial" w:hAnsi="Arial" w:cs="Arial"/>
              </w:rPr>
              <w:t>:</w:t>
            </w:r>
          </w:p>
          <w:p w:rsidR="001837F1" w:rsidRDefault="001837F1" w:rsidP="001837F1">
            <w:pPr>
              <w:jc w:val="both"/>
              <w:rPr>
                <w:rFonts w:ascii="Arial" w:hAnsi="Arial" w:cs="Arial"/>
              </w:rPr>
            </w:pPr>
          </w:p>
          <w:p w:rsidR="00766194" w:rsidRPr="005B1FBD" w:rsidRDefault="00743F49" w:rsidP="005F649D">
            <w:pPr>
              <w:pStyle w:val="ListParagraph"/>
              <w:numPr>
                <w:ilvl w:val="0"/>
                <w:numId w:val="1"/>
              </w:numPr>
              <w:jc w:val="both"/>
              <w:rPr>
                <w:rFonts w:ascii="Arial" w:hAnsi="Arial" w:cs="Arial"/>
              </w:rPr>
            </w:pPr>
            <w:r w:rsidRPr="005B1FBD">
              <w:rPr>
                <w:rFonts w:ascii="Arial" w:hAnsi="Arial" w:cs="Arial"/>
              </w:rPr>
              <w:t xml:space="preserve">comment on and </w:t>
            </w:r>
            <w:r w:rsidR="00766194" w:rsidRPr="005B1FBD">
              <w:rPr>
                <w:rFonts w:ascii="Arial" w:hAnsi="Arial" w:cs="Arial"/>
              </w:rPr>
              <w:t xml:space="preserve">note the draft Gender Pay Gap Report in </w:t>
            </w:r>
            <w:r w:rsidR="00766194" w:rsidRPr="005B1FBD">
              <w:rPr>
                <w:rFonts w:ascii="Arial" w:hAnsi="Arial" w:cs="Arial"/>
                <w:b/>
              </w:rPr>
              <w:t xml:space="preserve">Appendix </w:t>
            </w:r>
            <w:r w:rsidR="005B1FBD" w:rsidRPr="005B1FBD">
              <w:rPr>
                <w:rFonts w:ascii="Arial" w:hAnsi="Arial" w:cs="Arial"/>
                <w:szCs w:val="24"/>
              </w:rPr>
              <w:t>and approve its submission to the UK Government and publication on the HLH website</w:t>
            </w:r>
            <w:r w:rsidR="001928FC" w:rsidRPr="005B1FBD">
              <w:rPr>
                <w:rFonts w:ascii="Arial" w:hAnsi="Arial" w:cs="Arial"/>
              </w:rPr>
              <w:t>.</w:t>
            </w:r>
            <w:r w:rsidR="00766194" w:rsidRPr="005B1FBD">
              <w:rPr>
                <w:rFonts w:ascii="Arial" w:hAnsi="Arial" w:cs="Arial"/>
              </w:rPr>
              <w:t xml:space="preserve"> </w:t>
            </w:r>
          </w:p>
          <w:p w:rsidR="0039450A" w:rsidRPr="0036440C" w:rsidRDefault="0039450A" w:rsidP="00D9403E">
            <w:pPr>
              <w:pStyle w:val="ListParagraph"/>
              <w:jc w:val="both"/>
              <w:rPr>
                <w:rFonts w:ascii="Arial" w:hAnsi="Arial" w:cs="Arial"/>
              </w:rPr>
            </w:pPr>
          </w:p>
        </w:tc>
      </w:tr>
      <w:tr w:rsidR="00943129"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943129" w:rsidRPr="00943129" w:rsidRDefault="00943129" w:rsidP="00416BFF">
            <w:pPr>
              <w:rPr>
                <w:rFonts w:ascii="Arial" w:hAnsi="Arial" w:cs="Arial"/>
                <w:szCs w:val="24"/>
              </w:rPr>
            </w:pPr>
          </w:p>
        </w:tc>
        <w:tc>
          <w:tcPr>
            <w:tcW w:w="8363" w:type="dxa"/>
          </w:tcPr>
          <w:p w:rsidR="003979DB" w:rsidRDefault="003979DB" w:rsidP="003979DB">
            <w:pPr>
              <w:rPr>
                <w:rFonts w:ascii="Arial" w:hAnsi="Arial" w:cs="Arial"/>
                <w:b/>
              </w:rPr>
            </w:pPr>
          </w:p>
        </w:tc>
      </w:tr>
      <w:tr w:rsidR="00024D53"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024D53" w:rsidRDefault="00024D53" w:rsidP="00416BFF">
            <w:pPr>
              <w:rPr>
                <w:rFonts w:ascii="Arial" w:hAnsi="Arial" w:cs="Arial"/>
                <w:b/>
                <w:szCs w:val="24"/>
              </w:rPr>
            </w:pPr>
            <w:r>
              <w:rPr>
                <w:rFonts w:ascii="Arial" w:hAnsi="Arial" w:cs="Arial"/>
                <w:b/>
                <w:szCs w:val="24"/>
              </w:rPr>
              <w:t>1.</w:t>
            </w:r>
          </w:p>
        </w:tc>
        <w:tc>
          <w:tcPr>
            <w:tcW w:w="8363" w:type="dxa"/>
          </w:tcPr>
          <w:p w:rsidR="00024D53" w:rsidRDefault="00024D53" w:rsidP="00CF19AE">
            <w:pPr>
              <w:autoSpaceDE w:val="0"/>
              <w:autoSpaceDN w:val="0"/>
              <w:adjustRightInd w:val="0"/>
              <w:rPr>
                <w:rFonts w:ascii="Arial" w:hAnsi="Arial" w:cs="Arial"/>
                <w:b/>
              </w:rPr>
            </w:pPr>
            <w:r>
              <w:rPr>
                <w:rFonts w:ascii="Arial" w:hAnsi="Arial" w:cs="Arial"/>
                <w:b/>
              </w:rPr>
              <w:t>Business Plan Contribution</w:t>
            </w:r>
          </w:p>
          <w:p w:rsidR="00024D53" w:rsidRDefault="00024D53" w:rsidP="00CF19AE">
            <w:pPr>
              <w:autoSpaceDE w:val="0"/>
              <w:autoSpaceDN w:val="0"/>
              <w:adjustRightInd w:val="0"/>
              <w:rPr>
                <w:rFonts w:ascii="Arial" w:hAnsi="Arial" w:cs="Arial"/>
                <w:b/>
              </w:rPr>
            </w:pPr>
          </w:p>
        </w:tc>
      </w:tr>
      <w:tr w:rsidR="00024D53"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024D53" w:rsidRPr="00024D53" w:rsidRDefault="00024D53" w:rsidP="00416BFF">
            <w:pPr>
              <w:rPr>
                <w:rFonts w:ascii="Arial" w:hAnsi="Arial" w:cs="Arial"/>
                <w:szCs w:val="24"/>
              </w:rPr>
            </w:pPr>
            <w:r>
              <w:rPr>
                <w:rFonts w:ascii="Arial" w:hAnsi="Arial" w:cs="Arial"/>
                <w:szCs w:val="24"/>
              </w:rPr>
              <w:t>1.1</w:t>
            </w:r>
          </w:p>
        </w:tc>
        <w:tc>
          <w:tcPr>
            <w:tcW w:w="8363" w:type="dxa"/>
          </w:tcPr>
          <w:p w:rsidR="007B7259" w:rsidRPr="007B7259" w:rsidRDefault="007B7259" w:rsidP="007B7259">
            <w:pPr>
              <w:jc w:val="both"/>
              <w:rPr>
                <w:rFonts w:ascii="Arial" w:hAnsi="Arial" w:cs="Arial"/>
              </w:rPr>
            </w:pPr>
            <w:r w:rsidRPr="007B7259">
              <w:rPr>
                <w:rFonts w:ascii="Arial" w:hAnsi="Arial" w:cs="Arial"/>
              </w:rPr>
              <w:t>This report supports the highlighted Business Outcomes from the High Life Highland (HLH) Business Plan:</w:t>
            </w:r>
          </w:p>
          <w:p w:rsidR="007B7259" w:rsidRPr="007B7259" w:rsidRDefault="007B7259" w:rsidP="007B7259">
            <w:pPr>
              <w:jc w:val="both"/>
              <w:rPr>
                <w:rFonts w:ascii="Arial" w:hAnsi="Arial" w:cs="Arial"/>
              </w:rPr>
            </w:pPr>
          </w:p>
          <w:p w:rsidR="007B7259" w:rsidRPr="007B7259" w:rsidRDefault="007B7259" w:rsidP="005F649D">
            <w:pPr>
              <w:numPr>
                <w:ilvl w:val="0"/>
                <w:numId w:val="6"/>
              </w:numPr>
              <w:contextualSpacing/>
              <w:jc w:val="both"/>
              <w:rPr>
                <w:rFonts w:ascii="Arial" w:eastAsia="Calibri" w:hAnsi="Arial" w:cs="Arial"/>
                <w:szCs w:val="24"/>
                <w:lang w:eastAsia="en-US"/>
              </w:rPr>
            </w:pPr>
            <w:r w:rsidRPr="007B7259">
              <w:rPr>
                <w:rFonts w:ascii="Arial" w:eastAsia="Calibri" w:hAnsi="Arial" w:cs="Arial"/>
                <w:szCs w:val="24"/>
                <w:lang w:eastAsia="en-US"/>
              </w:rPr>
              <w:t>Sustain a high standard of health and safety, and environmental performance</w:t>
            </w:r>
          </w:p>
          <w:p w:rsidR="007B7259" w:rsidRPr="007B7259" w:rsidRDefault="007B7259" w:rsidP="005F649D">
            <w:pPr>
              <w:numPr>
                <w:ilvl w:val="0"/>
                <w:numId w:val="6"/>
              </w:numPr>
              <w:contextualSpacing/>
              <w:jc w:val="both"/>
              <w:rPr>
                <w:rFonts w:ascii="Arial" w:eastAsia="Calibri" w:hAnsi="Arial" w:cs="Arial"/>
                <w:b/>
                <w:szCs w:val="24"/>
                <w:lang w:eastAsia="en-US"/>
              </w:rPr>
            </w:pPr>
            <w:r w:rsidRPr="007B7259">
              <w:rPr>
                <w:rFonts w:ascii="Arial" w:eastAsia="Calibri" w:hAnsi="Arial" w:cs="Arial"/>
                <w:b/>
                <w:szCs w:val="24"/>
                <w:lang w:eastAsia="en-US"/>
              </w:rPr>
              <w:t>Implement the Service Delivery Contract with THC</w:t>
            </w:r>
          </w:p>
          <w:p w:rsidR="007B7259" w:rsidRPr="007B7259" w:rsidRDefault="007B7259" w:rsidP="005F649D">
            <w:pPr>
              <w:numPr>
                <w:ilvl w:val="0"/>
                <w:numId w:val="6"/>
              </w:numPr>
              <w:contextualSpacing/>
              <w:jc w:val="both"/>
              <w:rPr>
                <w:rFonts w:ascii="Arial" w:eastAsia="Calibri" w:hAnsi="Arial" w:cs="Arial"/>
                <w:b/>
                <w:szCs w:val="24"/>
                <w:lang w:eastAsia="en-US"/>
              </w:rPr>
            </w:pPr>
            <w:r w:rsidRPr="007B7259">
              <w:rPr>
                <w:rFonts w:ascii="Arial" w:eastAsia="Calibri" w:hAnsi="Arial" w:cs="Arial"/>
                <w:b/>
                <w:szCs w:val="24"/>
                <w:lang w:eastAsia="en-US"/>
              </w:rPr>
              <w:t>Improving customer engagement and satisfaction</w:t>
            </w:r>
          </w:p>
          <w:p w:rsidR="007B7259" w:rsidRPr="007B7259" w:rsidRDefault="007B7259" w:rsidP="005F649D">
            <w:pPr>
              <w:numPr>
                <w:ilvl w:val="0"/>
                <w:numId w:val="6"/>
              </w:numPr>
              <w:contextualSpacing/>
              <w:jc w:val="both"/>
              <w:rPr>
                <w:rFonts w:ascii="Arial" w:eastAsia="Calibri" w:hAnsi="Arial" w:cs="Arial"/>
                <w:b/>
                <w:szCs w:val="24"/>
                <w:lang w:eastAsia="en-US"/>
              </w:rPr>
            </w:pPr>
            <w:r w:rsidRPr="007B7259">
              <w:rPr>
                <w:rFonts w:ascii="Arial" w:eastAsia="Calibri" w:hAnsi="Arial" w:cs="Arial"/>
                <w:b/>
                <w:szCs w:val="24"/>
                <w:lang w:eastAsia="en-US"/>
              </w:rPr>
              <w:t>Improving staff engagement and satisfaction</w:t>
            </w:r>
          </w:p>
          <w:p w:rsidR="007B7259" w:rsidRPr="007B7259" w:rsidRDefault="007B7259" w:rsidP="005F649D">
            <w:pPr>
              <w:numPr>
                <w:ilvl w:val="0"/>
                <w:numId w:val="6"/>
              </w:numPr>
              <w:contextualSpacing/>
              <w:jc w:val="both"/>
              <w:rPr>
                <w:rFonts w:ascii="Arial" w:eastAsia="Calibri" w:hAnsi="Arial" w:cs="Arial"/>
                <w:b/>
                <w:szCs w:val="24"/>
                <w:lang w:eastAsia="en-US"/>
              </w:rPr>
            </w:pPr>
            <w:r w:rsidRPr="007B7259">
              <w:rPr>
                <w:rFonts w:ascii="Arial" w:eastAsia="Calibri" w:hAnsi="Arial" w:cs="Arial"/>
                <w:b/>
                <w:szCs w:val="24"/>
                <w:lang w:eastAsia="en-US"/>
              </w:rPr>
              <w:t>Enhance the positive charity image</w:t>
            </w:r>
          </w:p>
          <w:p w:rsidR="007B7259" w:rsidRPr="007B7259" w:rsidRDefault="007B7259" w:rsidP="005F649D">
            <w:pPr>
              <w:numPr>
                <w:ilvl w:val="0"/>
                <w:numId w:val="6"/>
              </w:numPr>
              <w:contextualSpacing/>
              <w:jc w:val="both"/>
              <w:rPr>
                <w:rFonts w:ascii="Arial" w:eastAsia="Calibri" w:hAnsi="Arial" w:cs="Arial"/>
                <w:szCs w:val="24"/>
                <w:lang w:eastAsia="en-US"/>
              </w:rPr>
            </w:pPr>
            <w:r w:rsidRPr="007B7259">
              <w:rPr>
                <w:rFonts w:ascii="Arial" w:eastAsia="Calibri" w:hAnsi="Arial" w:cs="Arial"/>
                <w:szCs w:val="24"/>
                <w:lang w:eastAsia="en-US"/>
              </w:rPr>
              <w:t>Be a trusted and effective partner</w:t>
            </w:r>
          </w:p>
          <w:p w:rsidR="007B7259" w:rsidRPr="007B7259" w:rsidRDefault="007B7259" w:rsidP="005F649D">
            <w:pPr>
              <w:numPr>
                <w:ilvl w:val="0"/>
                <w:numId w:val="6"/>
              </w:numPr>
              <w:contextualSpacing/>
              <w:jc w:val="both"/>
              <w:rPr>
                <w:rFonts w:ascii="Arial" w:eastAsia="Calibri" w:hAnsi="Arial" w:cs="Arial"/>
                <w:szCs w:val="24"/>
                <w:lang w:eastAsia="en-US"/>
              </w:rPr>
            </w:pPr>
            <w:r w:rsidRPr="007B7259">
              <w:rPr>
                <w:rFonts w:ascii="Arial" w:eastAsia="Calibri" w:hAnsi="Arial" w:cs="Arial"/>
                <w:szCs w:val="24"/>
                <w:lang w:eastAsia="en-US"/>
              </w:rPr>
              <w:t>Achieve sustainable growth across the organisation</w:t>
            </w:r>
          </w:p>
          <w:p w:rsidR="007B7259" w:rsidRPr="007B7259" w:rsidRDefault="007B7259" w:rsidP="005F649D">
            <w:pPr>
              <w:numPr>
                <w:ilvl w:val="0"/>
                <w:numId w:val="6"/>
              </w:numPr>
              <w:contextualSpacing/>
              <w:jc w:val="both"/>
              <w:rPr>
                <w:rFonts w:ascii="Arial" w:eastAsia="Calibri" w:hAnsi="Arial" w:cs="Arial"/>
                <w:szCs w:val="24"/>
                <w:lang w:eastAsia="en-US"/>
              </w:rPr>
            </w:pPr>
            <w:r w:rsidRPr="007B7259">
              <w:rPr>
                <w:rFonts w:ascii="Arial" w:eastAsia="Calibri" w:hAnsi="Arial" w:cs="Arial"/>
                <w:szCs w:val="24"/>
                <w:lang w:eastAsia="en-US"/>
              </w:rPr>
              <w:t>Develop health and wellbeing across Highland communities</w:t>
            </w:r>
          </w:p>
          <w:p w:rsidR="007B7259" w:rsidRPr="007B7259" w:rsidRDefault="007B7259" w:rsidP="005F649D">
            <w:pPr>
              <w:numPr>
                <w:ilvl w:val="0"/>
                <w:numId w:val="6"/>
              </w:numPr>
              <w:contextualSpacing/>
              <w:jc w:val="both"/>
              <w:rPr>
                <w:rFonts w:ascii="Arial" w:eastAsia="Calibri" w:hAnsi="Arial" w:cs="Arial"/>
                <w:b/>
                <w:szCs w:val="24"/>
                <w:lang w:eastAsia="en-US"/>
              </w:rPr>
            </w:pPr>
            <w:r w:rsidRPr="007B7259">
              <w:rPr>
                <w:rFonts w:ascii="Arial" w:eastAsia="Calibri" w:hAnsi="Arial" w:cs="Arial"/>
                <w:b/>
                <w:szCs w:val="24"/>
                <w:lang w:eastAsia="en-US"/>
              </w:rPr>
              <w:t>Develop and promote the High Life brand</w:t>
            </w:r>
          </w:p>
          <w:p w:rsidR="00024D53" w:rsidRDefault="00024D53" w:rsidP="00024D53">
            <w:pPr>
              <w:autoSpaceDE w:val="0"/>
              <w:autoSpaceDN w:val="0"/>
              <w:adjustRightInd w:val="0"/>
              <w:rPr>
                <w:rFonts w:ascii="Arial" w:hAnsi="Arial" w:cs="Arial"/>
                <w:b/>
              </w:rPr>
            </w:pPr>
          </w:p>
        </w:tc>
      </w:tr>
      <w:tr w:rsidR="0079570B"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79570B" w:rsidRDefault="0079570B" w:rsidP="00416BFF">
            <w:pPr>
              <w:rPr>
                <w:rFonts w:ascii="Arial" w:hAnsi="Arial" w:cs="Arial"/>
                <w:b/>
                <w:szCs w:val="24"/>
              </w:rPr>
            </w:pPr>
            <w:r>
              <w:rPr>
                <w:rFonts w:ascii="Arial" w:hAnsi="Arial" w:cs="Arial"/>
                <w:b/>
                <w:szCs w:val="24"/>
              </w:rPr>
              <w:t>2.</w:t>
            </w:r>
          </w:p>
        </w:tc>
        <w:tc>
          <w:tcPr>
            <w:tcW w:w="8363" w:type="dxa"/>
          </w:tcPr>
          <w:p w:rsidR="0079570B" w:rsidRDefault="0079570B" w:rsidP="00CF19AE">
            <w:pPr>
              <w:autoSpaceDE w:val="0"/>
              <w:autoSpaceDN w:val="0"/>
              <w:adjustRightInd w:val="0"/>
              <w:rPr>
                <w:rFonts w:ascii="Arial" w:hAnsi="Arial" w:cs="Arial"/>
                <w:b/>
              </w:rPr>
            </w:pPr>
            <w:r>
              <w:rPr>
                <w:rFonts w:ascii="Arial" w:hAnsi="Arial" w:cs="Arial"/>
                <w:b/>
              </w:rPr>
              <w:t>Background</w:t>
            </w:r>
          </w:p>
          <w:p w:rsidR="0079570B" w:rsidRDefault="0079570B" w:rsidP="00CF19AE">
            <w:pPr>
              <w:autoSpaceDE w:val="0"/>
              <w:autoSpaceDN w:val="0"/>
              <w:adjustRightInd w:val="0"/>
              <w:rPr>
                <w:rFonts w:ascii="Arial" w:hAnsi="Arial" w:cs="Arial"/>
                <w:b/>
              </w:rPr>
            </w:pPr>
          </w:p>
        </w:tc>
      </w:tr>
      <w:tr w:rsidR="0079570B"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561"/>
        </w:trPr>
        <w:tc>
          <w:tcPr>
            <w:tcW w:w="851" w:type="dxa"/>
          </w:tcPr>
          <w:p w:rsidR="0079570B" w:rsidRDefault="0079570B" w:rsidP="00766194">
            <w:pPr>
              <w:rPr>
                <w:rFonts w:ascii="Arial" w:hAnsi="Arial" w:cs="Arial"/>
                <w:szCs w:val="24"/>
              </w:rPr>
            </w:pPr>
            <w:r>
              <w:rPr>
                <w:rFonts w:ascii="Arial" w:hAnsi="Arial" w:cs="Arial"/>
                <w:szCs w:val="24"/>
              </w:rPr>
              <w:t>2</w:t>
            </w:r>
            <w:r w:rsidRPr="00372950">
              <w:rPr>
                <w:rFonts w:ascii="Arial" w:hAnsi="Arial" w:cs="Arial"/>
                <w:szCs w:val="24"/>
              </w:rPr>
              <w:t>.1</w:t>
            </w:r>
          </w:p>
          <w:p w:rsidR="0079570B" w:rsidRDefault="0079570B" w:rsidP="00766194">
            <w:pPr>
              <w:rPr>
                <w:rFonts w:ascii="Arial" w:hAnsi="Arial" w:cs="Arial"/>
                <w:szCs w:val="24"/>
              </w:rPr>
            </w:pPr>
          </w:p>
          <w:p w:rsidR="00024D53" w:rsidRDefault="00024D53" w:rsidP="00766194">
            <w:pPr>
              <w:rPr>
                <w:rFonts w:ascii="Arial" w:hAnsi="Arial" w:cs="Arial"/>
                <w:szCs w:val="24"/>
              </w:rPr>
            </w:pPr>
          </w:p>
          <w:p w:rsidR="00024D53" w:rsidRDefault="00024D53" w:rsidP="00766194">
            <w:pPr>
              <w:rPr>
                <w:rFonts w:ascii="Arial" w:hAnsi="Arial" w:cs="Arial"/>
                <w:szCs w:val="24"/>
              </w:rPr>
            </w:pPr>
          </w:p>
          <w:p w:rsidR="00024D53" w:rsidRDefault="00024D53" w:rsidP="00766194">
            <w:pPr>
              <w:rPr>
                <w:rFonts w:ascii="Arial" w:hAnsi="Arial" w:cs="Arial"/>
                <w:szCs w:val="24"/>
              </w:rPr>
            </w:pPr>
          </w:p>
          <w:p w:rsidR="0079570B" w:rsidRDefault="0079570B" w:rsidP="00766194">
            <w:pPr>
              <w:rPr>
                <w:rFonts w:ascii="Arial" w:hAnsi="Arial" w:cs="Arial"/>
                <w:szCs w:val="24"/>
              </w:rPr>
            </w:pPr>
            <w:r>
              <w:rPr>
                <w:rFonts w:ascii="Arial" w:hAnsi="Arial" w:cs="Arial"/>
                <w:szCs w:val="24"/>
              </w:rPr>
              <w:t>2.2</w:t>
            </w:r>
          </w:p>
          <w:p w:rsidR="00766194" w:rsidRDefault="00766194" w:rsidP="00766194">
            <w:pPr>
              <w:rPr>
                <w:rFonts w:ascii="Arial" w:hAnsi="Arial" w:cs="Arial"/>
                <w:szCs w:val="24"/>
              </w:rPr>
            </w:pPr>
          </w:p>
          <w:p w:rsidR="00766194" w:rsidRDefault="00766194" w:rsidP="00766194">
            <w:pPr>
              <w:rPr>
                <w:rFonts w:ascii="Arial" w:hAnsi="Arial" w:cs="Arial"/>
                <w:szCs w:val="24"/>
              </w:rPr>
            </w:pPr>
          </w:p>
          <w:p w:rsidR="00766194" w:rsidRDefault="00766194" w:rsidP="00766194">
            <w:pPr>
              <w:rPr>
                <w:rFonts w:ascii="Arial" w:hAnsi="Arial" w:cs="Arial"/>
                <w:szCs w:val="24"/>
              </w:rPr>
            </w:pPr>
            <w:r>
              <w:rPr>
                <w:rFonts w:ascii="Arial" w:hAnsi="Arial" w:cs="Arial"/>
                <w:szCs w:val="24"/>
              </w:rPr>
              <w:t>2.3</w:t>
            </w:r>
          </w:p>
          <w:p w:rsidR="00766194" w:rsidRDefault="00766194" w:rsidP="00766194">
            <w:pPr>
              <w:rPr>
                <w:rFonts w:ascii="Arial" w:hAnsi="Arial" w:cs="Arial"/>
                <w:szCs w:val="24"/>
              </w:rPr>
            </w:pPr>
          </w:p>
          <w:p w:rsidR="00766194" w:rsidRDefault="00766194" w:rsidP="00766194">
            <w:pPr>
              <w:rPr>
                <w:rFonts w:ascii="Arial" w:hAnsi="Arial" w:cs="Arial"/>
                <w:szCs w:val="24"/>
              </w:rPr>
            </w:pPr>
          </w:p>
          <w:p w:rsidR="00766194" w:rsidRDefault="00766194" w:rsidP="00766194">
            <w:pPr>
              <w:rPr>
                <w:rFonts w:ascii="Arial" w:hAnsi="Arial" w:cs="Arial"/>
                <w:szCs w:val="24"/>
              </w:rPr>
            </w:pPr>
            <w:r>
              <w:rPr>
                <w:rFonts w:ascii="Arial" w:hAnsi="Arial" w:cs="Arial"/>
                <w:szCs w:val="24"/>
              </w:rPr>
              <w:t>2.4</w:t>
            </w:r>
          </w:p>
          <w:p w:rsidR="00024D53" w:rsidRDefault="00024D53" w:rsidP="00766194">
            <w:pPr>
              <w:rPr>
                <w:rFonts w:ascii="Arial" w:hAnsi="Arial" w:cs="Arial"/>
                <w:szCs w:val="24"/>
              </w:rPr>
            </w:pPr>
          </w:p>
          <w:p w:rsidR="00FA4126" w:rsidRDefault="00FA4126" w:rsidP="00766194">
            <w:pPr>
              <w:rPr>
                <w:rFonts w:ascii="Arial" w:hAnsi="Arial" w:cs="Arial"/>
                <w:szCs w:val="24"/>
              </w:rPr>
            </w:pPr>
          </w:p>
          <w:p w:rsidR="00FA4126" w:rsidRDefault="00FA4126" w:rsidP="00766194">
            <w:pPr>
              <w:rPr>
                <w:rFonts w:ascii="Arial" w:hAnsi="Arial" w:cs="Arial"/>
                <w:szCs w:val="24"/>
              </w:rPr>
            </w:pPr>
          </w:p>
          <w:p w:rsidR="00024D53" w:rsidRDefault="00024D53" w:rsidP="00766194">
            <w:pPr>
              <w:rPr>
                <w:rFonts w:ascii="Arial" w:hAnsi="Arial" w:cs="Arial"/>
                <w:szCs w:val="24"/>
              </w:rPr>
            </w:pPr>
          </w:p>
          <w:p w:rsidR="00024D53" w:rsidRDefault="00024D53" w:rsidP="00766194">
            <w:pPr>
              <w:rPr>
                <w:rFonts w:ascii="Arial" w:hAnsi="Arial" w:cs="Arial"/>
                <w:szCs w:val="24"/>
              </w:rPr>
            </w:pPr>
          </w:p>
          <w:p w:rsidR="00024D53" w:rsidRDefault="00024D53" w:rsidP="00766194">
            <w:pPr>
              <w:rPr>
                <w:rFonts w:ascii="Arial" w:hAnsi="Arial" w:cs="Arial"/>
                <w:szCs w:val="24"/>
              </w:rPr>
            </w:pPr>
          </w:p>
          <w:p w:rsidR="0079570B" w:rsidRDefault="0079570B" w:rsidP="00766194">
            <w:pPr>
              <w:rPr>
                <w:rFonts w:ascii="Arial" w:hAnsi="Arial" w:cs="Arial"/>
                <w:szCs w:val="24"/>
              </w:rPr>
            </w:pPr>
          </w:p>
          <w:p w:rsidR="0079570B" w:rsidRPr="00104560" w:rsidRDefault="0079570B" w:rsidP="008D6B2C">
            <w:pPr>
              <w:rPr>
                <w:rFonts w:ascii="Arial" w:hAnsi="Arial" w:cs="Arial"/>
                <w:szCs w:val="24"/>
              </w:rPr>
            </w:pPr>
          </w:p>
        </w:tc>
        <w:tc>
          <w:tcPr>
            <w:tcW w:w="8363" w:type="dxa"/>
          </w:tcPr>
          <w:p w:rsidR="00766194" w:rsidRPr="00766194" w:rsidRDefault="00FA4126" w:rsidP="00024D53">
            <w:pPr>
              <w:spacing w:after="100" w:afterAutospacing="1"/>
              <w:jc w:val="both"/>
              <w:outlineLvl w:val="1"/>
              <w:rPr>
                <w:rFonts w:ascii="Arial" w:hAnsi="Arial" w:cs="Arial"/>
                <w:b/>
                <w:bCs/>
                <w:szCs w:val="24"/>
                <w:lang w:val="en"/>
              </w:rPr>
            </w:pPr>
            <w:r w:rsidRPr="00FA4126">
              <w:rPr>
                <w:rFonts w:ascii="Arial" w:hAnsi="Arial" w:cs="Arial"/>
                <w:szCs w:val="24"/>
                <w:lang w:val="en"/>
              </w:rPr>
              <w:lastRenderedPageBreak/>
              <w:t xml:space="preserve">Under The Equality Act 2010 (Gender Pay Gap Information) Regulations 2017 it is </w:t>
            </w:r>
            <w:r w:rsidR="00024D53">
              <w:rPr>
                <w:rFonts w:ascii="Arial" w:hAnsi="Arial" w:cs="Arial"/>
                <w:szCs w:val="24"/>
                <w:lang w:val="en"/>
              </w:rPr>
              <w:t xml:space="preserve">now </w:t>
            </w:r>
            <w:r w:rsidRPr="00FA4126">
              <w:rPr>
                <w:rFonts w:ascii="Arial" w:hAnsi="Arial" w:cs="Arial"/>
                <w:szCs w:val="24"/>
                <w:lang w:val="en"/>
              </w:rPr>
              <w:t xml:space="preserve">a legal requirement for </w:t>
            </w:r>
            <w:r w:rsidR="00766194" w:rsidRPr="00766194">
              <w:rPr>
                <w:rFonts w:ascii="Arial" w:hAnsi="Arial" w:cs="Arial"/>
                <w:szCs w:val="24"/>
                <w:lang w:val="en"/>
              </w:rPr>
              <w:t xml:space="preserve">any organisation </w:t>
            </w:r>
            <w:r w:rsidR="00D64017">
              <w:rPr>
                <w:rFonts w:ascii="Arial" w:hAnsi="Arial" w:cs="Arial"/>
                <w:szCs w:val="24"/>
                <w:lang w:val="en"/>
              </w:rPr>
              <w:t>with</w:t>
            </w:r>
            <w:r w:rsidR="00766194" w:rsidRPr="00766194">
              <w:rPr>
                <w:rFonts w:ascii="Arial" w:hAnsi="Arial" w:cs="Arial"/>
                <w:szCs w:val="24"/>
                <w:lang w:val="en"/>
              </w:rPr>
              <w:t xml:space="preserve"> 250 or more employees </w:t>
            </w:r>
            <w:r w:rsidRPr="00FA4126">
              <w:rPr>
                <w:rFonts w:ascii="Arial" w:hAnsi="Arial" w:cs="Arial"/>
                <w:szCs w:val="24"/>
                <w:lang w:val="en"/>
              </w:rPr>
              <w:t xml:space="preserve">to </w:t>
            </w:r>
            <w:r w:rsidR="00766194" w:rsidRPr="00766194">
              <w:rPr>
                <w:rFonts w:ascii="Arial" w:hAnsi="Arial" w:cs="Arial"/>
                <w:szCs w:val="24"/>
                <w:lang w:val="en"/>
              </w:rPr>
              <w:t>publish and report specific figures about their gender pay gap</w:t>
            </w:r>
            <w:r w:rsidR="00D64017">
              <w:rPr>
                <w:rFonts w:ascii="Arial" w:hAnsi="Arial" w:cs="Arial"/>
                <w:szCs w:val="24"/>
                <w:lang w:val="en"/>
              </w:rPr>
              <w:t>,</w:t>
            </w:r>
            <w:r w:rsidR="00024D53">
              <w:rPr>
                <w:rFonts w:ascii="Arial" w:hAnsi="Arial" w:cs="Arial"/>
                <w:szCs w:val="24"/>
                <w:lang w:val="en"/>
              </w:rPr>
              <w:t xml:space="preserve"> by April </w:t>
            </w:r>
            <w:r w:rsidR="00A4552E">
              <w:rPr>
                <w:rFonts w:ascii="Arial" w:hAnsi="Arial" w:cs="Arial"/>
                <w:szCs w:val="24"/>
                <w:lang w:val="en"/>
              </w:rPr>
              <w:t>each year</w:t>
            </w:r>
            <w:r w:rsidR="00766194" w:rsidRPr="00766194">
              <w:rPr>
                <w:rFonts w:ascii="Arial" w:hAnsi="Arial" w:cs="Arial"/>
                <w:szCs w:val="24"/>
                <w:lang w:val="en"/>
              </w:rPr>
              <w:t>.</w:t>
            </w:r>
          </w:p>
          <w:p w:rsidR="00FA4126" w:rsidRPr="00FA4126" w:rsidRDefault="00766194" w:rsidP="00024D53">
            <w:pPr>
              <w:spacing w:after="100" w:afterAutospacing="1"/>
              <w:jc w:val="both"/>
              <w:rPr>
                <w:rFonts w:ascii="Arial" w:hAnsi="Arial" w:cs="Arial"/>
                <w:szCs w:val="24"/>
                <w:lang w:val="en"/>
              </w:rPr>
            </w:pPr>
            <w:r w:rsidRPr="00766194">
              <w:rPr>
                <w:rFonts w:ascii="Arial" w:hAnsi="Arial" w:cs="Arial"/>
                <w:szCs w:val="24"/>
                <w:lang w:val="en"/>
              </w:rPr>
              <w:t xml:space="preserve">The gender pay gap is the difference between the average earnings of men and women, expressed relative to men’s earnings. </w:t>
            </w:r>
          </w:p>
          <w:p w:rsidR="00766194" w:rsidRPr="00766194" w:rsidRDefault="00766194" w:rsidP="00024D53">
            <w:pPr>
              <w:spacing w:after="100" w:afterAutospacing="1"/>
              <w:jc w:val="both"/>
              <w:rPr>
                <w:rFonts w:ascii="Arial" w:hAnsi="Arial" w:cs="Arial"/>
                <w:szCs w:val="24"/>
                <w:lang w:val="en"/>
              </w:rPr>
            </w:pPr>
            <w:r w:rsidRPr="00766194">
              <w:rPr>
                <w:rFonts w:ascii="Arial" w:hAnsi="Arial" w:cs="Arial"/>
                <w:szCs w:val="24"/>
                <w:lang w:val="en"/>
              </w:rPr>
              <w:t>Employers must</w:t>
            </w:r>
            <w:r w:rsidR="001928FC" w:rsidRPr="00766194">
              <w:rPr>
                <w:rFonts w:ascii="Arial" w:hAnsi="Arial" w:cs="Arial"/>
                <w:szCs w:val="24"/>
                <w:lang w:val="en"/>
              </w:rPr>
              <w:t xml:space="preserve"> publish their </w:t>
            </w:r>
            <w:hyperlink r:id="rId8" w:history="1">
              <w:r w:rsidR="001928FC" w:rsidRPr="00FA4126">
                <w:rPr>
                  <w:rFonts w:ascii="Arial" w:hAnsi="Arial" w:cs="Arial"/>
                  <w:szCs w:val="24"/>
                  <w:lang w:val="en"/>
                </w:rPr>
                <w:t>gender pay gap data and a written statement</w:t>
              </w:r>
            </w:hyperlink>
            <w:r w:rsidR="001928FC" w:rsidRPr="00766194">
              <w:rPr>
                <w:rFonts w:ascii="Arial" w:hAnsi="Arial" w:cs="Arial"/>
                <w:szCs w:val="24"/>
                <w:lang w:val="en"/>
              </w:rPr>
              <w:t xml:space="preserve"> on their public-facing website</w:t>
            </w:r>
            <w:r w:rsidR="001928FC">
              <w:rPr>
                <w:rFonts w:ascii="Arial" w:hAnsi="Arial" w:cs="Arial"/>
                <w:szCs w:val="24"/>
                <w:lang w:val="en"/>
              </w:rPr>
              <w:t xml:space="preserve"> and </w:t>
            </w:r>
            <w:r w:rsidR="001928FC" w:rsidRPr="00766194">
              <w:rPr>
                <w:rFonts w:ascii="Arial" w:hAnsi="Arial" w:cs="Arial"/>
                <w:szCs w:val="24"/>
                <w:lang w:val="en"/>
              </w:rPr>
              <w:t>report their data to government online</w:t>
            </w:r>
            <w:r w:rsidR="001928FC">
              <w:rPr>
                <w:rFonts w:ascii="Arial" w:hAnsi="Arial" w:cs="Arial"/>
                <w:szCs w:val="24"/>
                <w:lang w:val="en"/>
              </w:rPr>
              <w:t>.</w:t>
            </w:r>
            <w:r w:rsidR="001928FC" w:rsidRPr="00766194">
              <w:rPr>
                <w:rFonts w:ascii="Arial" w:hAnsi="Arial" w:cs="Arial"/>
                <w:szCs w:val="24"/>
                <w:lang w:val="en"/>
              </w:rPr>
              <w:t xml:space="preserve"> </w:t>
            </w:r>
          </w:p>
          <w:p w:rsidR="00FA4126" w:rsidRPr="00FA4126" w:rsidRDefault="001928FC" w:rsidP="00FA4126">
            <w:pPr>
              <w:pStyle w:val="Heading2"/>
              <w:rPr>
                <w:rFonts w:ascii="Arial" w:hAnsi="Arial" w:cs="Arial"/>
                <w:szCs w:val="24"/>
                <w:u w:val="none"/>
                <w:lang w:val="en"/>
              </w:rPr>
            </w:pPr>
            <w:r>
              <w:rPr>
                <w:rFonts w:ascii="Arial" w:hAnsi="Arial" w:cs="Arial"/>
                <w:szCs w:val="24"/>
                <w:u w:val="none"/>
                <w:lang w:val="en"/>
              </w:rPr>
              <w:t>The data required is:</w:t>
            </w:r>
          </w:p>
          <w:p w:rsidR="00FA4126" w:rsidRPr="00FA4126" w:rsidRDefault="00FA4126" w:rsidP="005F649D">
            <w:pPr>
              <w:numPr>
                <w:ilvl w:val="0"/>
                <w:numId w:val="4"/>
              </w:numPr>
              <w:spacing w:before="100" w:beforeAutospacing="1" w:after="100" w:afterAutospacing="1"/>
              <w:rPr>
                <w:rFonts w:ascii="Arial" w:hAnsi="Arial" w:cs="Arial"/>
                <w:szCs w:val="24"/>
                <w:lang w:val="en"/>
              </w:rPr>
            </w:pPr>
            <w:r w:rsidRPr="00FA4126">
              <w:rPr>
                <w:rFonts w:ascii="Arial" w:hAnsi="Arial" w:cs="Arial"/>
                <w:szCs w:val="24"/>
                <w:lang w:val="en"/>
              </w:rPr>
              <w:t xml:space="preserve">mean </w:t>
            </w:r>
            <w:r w:rsidR="001928FC">
              <w:rPr>
                <w:rFonts w:ascii="Arial" w:hAnsi="Arial" w:cs="Arial"/>
                <w:szCs w:val="24"/>
                <w:lang w:val="en"/>
              </w:rPr>
              <w:t xml:space="preserve">(average) </w:t>
            </w:r>
            <w:r w:rsidRPr="00FA4126">
              <w:rPr>
                <w:rFonts w:ascii="Arial" w:hAnsi="Arial" w:cs="Arial"/>
                <w:szCs w:val="24"/>
                <w:lang w:val="en"/>
              </w:rPr>
              <w:t>gender pay gap in hourly pay</w:t>
            </w:r>
            <w:r w:rsidR="00024D53">
              <w:rPr>
                <w:rFonts w:ascii="Arial" w:hAnsi="Arial" w:cs="Arial"/>
                <w:szCs w:val="24"/>
                <w:lang w:val="en"/>
              </w:rPr>
              <w:t>;</w:t>
            </w:r>
          </w:p>
          <w:p w:rsidR="00FA4126" w:rsidRPr="00FA4126" w:rsidRDefault="00FA4126" w:rsidP="005F649D">
            <w:pPr>
              <w:numPr>
                <w:ilvl w:val="0"/>
                <w:numId w:val="4"/>
              </w:numPr>
              <w:spacing w:before="100" w:beforeAutospacing="1" w:after="100" w:afterAutospacing="1"/>
              <w:rPr>
                <w:rFonts w:ascii="Arial" w:hAnsi="Arial" w:cs="Arial"/>
                <w:szCs w:val="24"/>
                <w:lang w:val="en"/>
              </w:rPr>
            </w:pPr>
            <w:r w:rsidRPr="00FA4126">
              <w:rPr>
                <w:rFonts w:ascii="Arial" w:hAnsi="Arial" w:cs="Arial"/>
                <w:szCs w:val="24"/>
                <w:lang w:val="en"/>
              </w:rPr>
              <w:t>median</w:t>
            </w:r>
            <w:r w:rsidR="001928FC">
              <w:rPr>
                <w:rFonts w:ascii="Arial" w:hAnsi="Arial" w:cs="Arial"/>
                <w:szCs w:val="24"/>
                <w:lang w:val="en"/>
              </w:rPr>
              <w:t xml:space="preserve"> (midpoint)</w:t>
            </w:r>
            <w:r w:rsidRPr="00FA4126">
              <w:rPr>
                <w:rFonts w:ascii="Arial" w:hAnsi="Arial" w:cs="Arial"/>
                <w:szCs w:val="24"/>
                <w:lang w:val="en"/>
              </w:rPr>
              <w:t xml:space="preserve"> gender pay gap in hourly pay</w:t>
            </w:r>
            <w:r w:rsidR="00024D53">
              <w:rPr>
                <w:rFonts w:ascii="Arial" w:hAnsi="Arial" w:cs="Arial"/>
                <w:szCs w:val="24"/>
                <w:lang w:val="en"/>
              </w:rPr>
              <w:t>;</w:t>
            </w:r>
          </w:p>
          <w:p w:rsidR="00FA4126" w:rsidRPr="00FA4126" w:rsidRDefault="00FA4126" w:rsidP="005F649D">
            <w:pPr>
              <w:numPr>
                <w:ilvl w:val="0"/>
                <w:numId w:val="4"/>
              </w:numPr>
              <w:spacing w:before="100" w:beforeAutospacing="1" w:after="100" w:afterAutospacing="1"/>
              <w:rPr>
                <w:rFonts w:ascii="Arial" w:hAnsi="Arial" w:cs="Arial"/>
                <w:szCs w:val="24"/>
                <w:lang w:val="en"/>
              </w:rPr>
            </w:pPr>
            <w:r w:rsidRPr="00FA4126">
              <w:rPr>
                <w:rFonts w:ascii="Arial" w:hAnsi="Arial" w:cs="Arial"/>
                <w:szCs w:val="24"/>
                <w:lang w:val="en"/>
              </w:rPr>
              <w:t>mean bonus gender pay gap</w:t>
            </w:r>
            <w:r w:rsidR="00024D53">
              <w:rPr>
                <w:rFonts w:ascii="Arial" w:hAnsi="Arial" w:cs="Arial"/>
                <w:szCs w:val="24"/>
                <w:lang w:val="en"/>
              </w:rPr>
              <w:t>;</w:t>
            </w:r>
          </w:p>
          <w:p w:rsidR="00FA4126" w:rsidRPr="00FA4126" w:rsidRDefault="00FA4126" w:rsidP="005F649D">
            <w:pPr>
              <w:numPr>
                <w:ilvl w:val="0"/>
                <w:numId w:val="4"/>
              </w:numPr>
              <w:spacing w:before="100" w:beforeAutospacing="1" w:after="100" w:afterAutospacing="1"/>
              <w:rPr>
                <w:rFonts w:ascii="Arial" w:hAnsi="Arial" w:cs="Arial"/>
                <w:szCs w:val="24"/>
                <w:lang w:val="en"/>
              </w:rPr>
            </w:pPr>
            <w:r w:rsidRPr="00FA4126">
              <w:rPr>
                <w:rFonts w:ascii="Arial" w:hAnsi="Arial" w:cs="Arial"/>
                <w:szCs w:val="24"/>
                <w:lang w:val="en"/>
              </w:rPr>
              <w:lastRenderedPageBreak/>
              <w:t>median bonus gender pay gap</w:t>
            </w:r>
            <w:r w:rsidR="00024D53">
              <w:rPr>
                <w:rFonts w:ascii="Arial" w:hAnsi="Arial" w:cs="Arial"/>
                <w:szCs w:val="24"/>
                <w:lang w:val="en"/>
              </w:rPr>
              <w:t>;</w:t>
            </w:r>
          </w:p>
          <w:p w:rsidR="00FA4126" w:rsidRPr="00FA4126" w:rsidRDefault="00FA4126" w:rsidP="005F649D">
            <w:pPr>
              <w:numPr>
                <w:ilvl w:val="0"/>
                <w:numId w:val="4"/>
              </w:numPr>
              <w:spacing w:before="100" w:beforeAutospacing="1" w:after="100" w:afterAutospacing="1"/>
              <w:rPr>
                <w:rFonts w:ascii="Arial" w:hAnsi="Arial" w:cs="Arial"/>
                <w:szCs w:val="24"/>
                <w:lang w:val="en"/>
              </w:rPr>
            </w:pPr>
            <w:r w:rsidRPr="00FA4126">
              <w:rPr>
                <w:rFonts w:ascii="Arial" w:hAnsi="Arial" w:cs="Arial"/>
                <w:szCs w:val="24"/>
                <w:lang w:val="en"/>
              </w:rPr>
              <w:t>proportion of males and females receiving a bonus payment</w:t>
            </w:r>
            <w:r w:rsidR="00024D53">
              <w:rPr>
                <w:rFonts w:ascii="Arial" w:hAnsi="Arial" w:cs="Arial"/>
                <w:szCs w:val="24"/>
                <w:lang w:val="en"/>
              </w:rPr>
              <w:t>; and</w:t>
            </w:r>
          </w:p>
          <w:p w:rsidR="00741805" w:rsidRPr="00A74875" w:rsidRDefault="00FA4126" w:rsidP="005F649D">
            <w:pPr>
              <w:numPr>
                <w:ilvl w:val="0"/>
                <w:numId w:val="4"/>
              </w:numPr>
              <w:spacing w:before="100" w:beforeAutospacing="1" w:after="100" w:afterAutospacing="1"/>
              <w:rPr>
                <w:rFonts w:ascii="Arial" w:hAnsi="Arial" w:cs="Arial"/>
                <w:szCs w:val="24"/>
                <w:lang w:val="en"/>
              </w:rPr>
            </w:pPr>
            <w:r w:rsidRPr="00FA4126">
              <w:rPr>
                <w:rFonts w:ascii="Arial" w:hAnsi="Arial" w:cs="Arial"/>
                <w:szCs w:val="24"/>
                <w:lang w:val="en"/>
              </w:rPr>
              <w:t>proportion of males and females in each pay quartile</w:t>
            </w:r>
          </w:p>
        </w:tc>
      </w:tr>
      <w:tr w:rsidR="00EB2A77" w:rsidRPr="00BE0678"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EB2A77" w:rsidRPr="00EB2A77" w:rsidRDefault="00EB2A77" w:rsidP="004D1125">
            <w:pPr>
              <w:autoSpaceDE w:val="0"/>
              <w:autoSpaceDN w:val="0"/>
              <w:adjustRightInd w:val="0"/>
              <w:rPr>
                <w:rFonts w:ascii="Arial" w:hAnsi="Arial" w:cs="Arial"/>
              </w:rPr>
            </w:pPr>
            <w:r w:rsidRPr="00EB2A77">
              <w:rPr>
                <w:rFonts w:ascii="Arial" w:hAnsi="Arial" w:cs="Arial"/>
              </w:rPr>
              <w:lastRenderedPageBreak/>
              <w:t>2.5</w:t>
            </w:r>
          </w:p>
        </w:tc>
        <w:tc>
          <w:tcPr>
            <w:tcW w:w="8363" w:type="dxa"/>
          </w:tcPr>
          <w:p w:rsidR="00EB2A77" w:rsidRDefault="00EB2A77" w:rsidP="00E873F9">
            <w:pPr>
              <w:jc w:val="both"/>
              <w:rPr>
                <w:rFonts w:ascii="Arial" w:eastAsiaTheme="minorHAnsi" w:hAnsi="Arial" w:cs="Arial"/>
                <w:szCs w:val="24"/>
                <w:lang w:eastAsia="en-US"/>
              </w:rPr>
            </w:pPr>
            <w:r>
              <w:rPr>
                <w:rFonts w:ascii="Arial" w:eastAsiaTheme="minorHAnsi" w:hAnsi="Arial" w:cs="Arial"/>
                <w:szCs w:val="24"/>
              </w:rPr>
              <w:t>HLH</w:t>
            </w:r>
            <w:r w:rsidRPr="00A65BBE">
              <w:rPr>
                <w:rFonts w:ascii="Arial" w:eastAsiaTheme="minorHAnsi" w:hAnsi="Arial" w:cs="Arial"/>
                <w:szCs w:val="24"/>
                <w:lang w:eastAsia="en-US"/>
              </w:rPr>
              <w:t xml:space="preserve"> is committed to the promotion of equality of opportunity in its employment practices.  The C</w:t>
            </w:r>
            <w:r w:rsidR="001430EA">
              <w:rPr>
                <w:rFonts w:ascii="Arial" w:eastAsiaTheme="minorHAnsi" w:hAnsi="Arial" w:cs="Arial"/>
                <w:szCs w:val="24"/>
                <w:lang w:eastAsia="en-US"/>
              </w:rPr>
              <w:t>harity</w:t>
            </w:r>
            <w:r w:rsidRPr="00A65BBE">
              <w:rPr>
                <w:rFonts w:ascii="Arial" w:eastAsiaTheme="minorHAnsi" w:hAnsi="Arial" w:cs="Arial"/>
                <w:szCs w:val="24"/>
                <w:lang w:eastAsia="en-US"/>
              </w:rPr>
              <w:t>’s Equal Opportunities policy states that it intends that no job applicant or employee shall receive less favourable treatment because of sex, marital or family status, age, ethnic origin, disability, race, colour, nationality, religion, belief, sexual orientation, gende</w:t>
            </w:r>
            <w:r w:rsidR="00BD05D4">
              <w:rPr>
                <w:rFonts w:ascii="Arial" w:eastAsiaTheme="minorHAnsi" w:hAnsi="Arial" w:cs="Arial"/>
                <w:szCs w:val="24"/>
                <w:lang w:eastAsia="en-US"/>
              </w:rPr>
              <w:t>r reassignment or any other non-</w:t>
            </w:r>
            <w:r w:rsidRPr="00A65BBE">
              <w:rPr>
                <w:rFonts w:ascii="Arial" w:eastAsiaTheme="minorHAnsi" w:hAnsi="Arial" w:cs="Arial"/>
                <w:szCs w:val="24"/>
                <w:lang w:eastAsia="en-US"/>
              </w:rPr>
              <w:t xml:space="preserve">job related factor.  </w:t>
            </w:r>
          </w:p>
          <w:p w:rsidR="00EB2A77" w:rsidRDefault="00EB2A77" w:rsidP="004D1125">
            <w:pPr>
              <w:jc w:val="both"/>
              <w:rPr>
                <w:rFonts w:ascii="Arial" w:hAnsi="Arial" w:cs="Arial"/>
                <w:b/>
                <w:szCs w:val="24"/>
              </w:rPr>
            </w:pPr>
          </w:p>
        </w:tc>
      </w:tr>
      <w:tr w:rsidR="00EB2A77" w:rsidRPr="00BE0678"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EB2A77" w:rsidRPr="00EB2A77" w:rsidRDefault="00EB2A77" w:rsidP="004D1125">
            <w:pPr>
              <w:autoSpaceDE w:val="0"/>
              <w:autoSpaceDN w:val="0"/>
              <w:adjustRightInd w:val="0"/>
              <w:rPr>
                <w:rFonts w:ascii="Arial" w:hAnsi="Arial" w:cs="Arial"/>
              </w:rPr>
            </w:pPr>
            <w:r w:rsidRPr="00EB2A77">
              <w:rPr>
                <w:rFonts w:ascii="Arial" w:hAnsi="Arial" w:cs="Arial"/>
              </w:rPr>
              <w:t>2.6</w:t>
            </w:r>
          </w:p>
        </w:tc>
        <w:tc>
          <w:tcPr>
            <w:tcW w:w="8363" w:type="dxa"/>
          </w:tcPr>
          <w:p w:rsidR="00EB2A77" w:rsidRDefault="00EB2A77" w:rsidP="004D1125">
            <w:pPr>
              <w:jc w:val="both"/>
              <w:rPr>
                <w:rFonts w:ascii="Arial" w:hAnsi="Arial" w:cs="Arial"/>
                <w:szCs w:val="24"/>
              </w:rPr>
            </w:pPr>
            <w:r>
              <w:rPr>
                <w:rFonts w:ascii="Arial" w:hAnsi="Arial" w:cs="Arial"/>
                <w:szCs w:val="24"/>
              </w:rPr>
              <w:t>HLH</w:t>
            </w:r>
            <w:r w:rsidRPr="00316E2E">
              <w:rPr>
                <w:rFonts w:ascii="Arial" w:hAnsi="Arial" w:cs="Arial"/>
                <w:szCs w:val="24"/>
              </w:rPr>
              <w:t xml:space="preserve"> is also confident to report that males and females are paid the same rate for the job regardless of gender (or any other difference).  Employees are remunerated according to set pay scales and terms and conditions which are negotiated nationally, through The Highland Council, by the Scottish Joint Council for Local Government Employees.</w:t>
            </w:r>
          </w:p>
          <w:p w:rsidR="00EB2A77" w:rsidRDefault="00EB2A77" w:rsidP="004D1125">
            <w:pPr>
              <w:jc w:val="both"/>
              <w:rPr>
                <w:rFonts w:ascii="Arial" w:hAnsi="Arial" w:cs="Arial"/>
                <w:b/>
                <w:szCs w:val="24"/>
              </w:rPr>
            </w:pPr>
          </w:p>
        </w:tc>
      </w:tr>
      <w:tr w:rsidR="00B25C9F" w:rsidRPr="00BE0678"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B25C9F" w:rsidRPr="00BE0678" w:rsidRDefault="00B25C9F" w:rsidP="004D1125">
            <w:pPr>
              <w:autoSpaceDE w:val="0"/>
              <w:autoSpaceDN w:val="0"/>
              <w:adjustRightInd w:val="0"/>
              <w:rPr>
                <w:rFonts w:ascii="Arial" w:hAnsi="Arial" w:cs="Arial"/>
                <w:b/>
              </w:rPr>
            </w:pPr>
            <w:r>
              <w:rPr>
                <w:rFonts w:ascii="Arial" w:hAnsi="Arial" w:cs="Arial"/>
                <w:b/>
              </w:rPr>
              <w:t>3.</w:t>
            </w:r>
          </w:p>
        </w:tc>
        <w:tc>
          <w:tcPr>
            <w:tcW w:w="8363" w:type="dxa"/>
          </w:tcPr>
          <w:p w:rsidR="00B25C9F" w:rsidRDefault="00B25C9F" w:rsidP="004D1125">
            <w:pPr>
              <w:jc w:val="both"/>
              <w:rPr>
                <w:rFonts w:ascii="Arial" w:hAnsi="Arial" w:cs="Arial"/>
                <w:b/>
                <w:szCs w:val="24"/>
              </w:rPr>
            </w:pPr>
            <w:r>
              <w:rPr>
                <w:rFonts w:ascii="Arial" w:hAnsi="Arial" w:cs="Arial"/>
                <w:b/>
                <w:szCs w:val="24"/>
              </w:rPr>
              <w:t xml:space="preserve">High Life Highland Gender Pay Gap </w:t>
            </w:r>
            <w:r w:rsidR="00EB2A77">
              <w:rPr>
                <w:rFonts w:ascii="Arial" w:hAnsi="Arial" w:cs="Arial"/>
                <w:b/>
                <w:szCs w:val="24"/>
              </w:rPr>
              <w:t>Results 201</w:t>
            </w:r>
            <w:r w:rsidR="00D83AD1">
              <w:rPr>
                <w:rFonts w:ascii="Arial" w:hAnsi="Arial" w:cs="Arial"/>
                <w:b/>
                <w:szCs w:val="24"/>
              </w:rPr>
              <w:t>8</w:t>
            </w:r>
            <w:r w:rsidR="00EB2A77">
              <w:rPr>
                <w:rFonts w:ascii="Arial" w:hAnsi="Arial" w:cs="Arial"/>
                <w:b/>
                <w:szCs w:val="24"/>
              </w:rPr>
              <w:t>/1</w:t>
            </w:r>
            <w:r w:rsidR="00D83AD1">
              <w:rPr>
                <w:rFonts w:ascii="Arial" w:hAnsi="Arial" w:cs="Arial"/>
                <w:b/>
                <w:szCs w:val="24"/>
              </w:rPr>
              <w:t>9</w:t>
            </w:r>
          </w:p>
          <w:p w:rsidR="00B25C9F" w:rsidRPr="00244D9F" w:rsidRDefault="00B25C9F" w:rsidP="004D1125">
            <w:pPr>
              <w:jc w:val="both"/>
              <w:rPr>
                <w:rFonts w:ascii="Arial" w:hAnsi="Arial" w:cs="Arial"/>
                <w:b/>
                <w:szCs w:val="24"/>
              </w:rPr>
            </w:pPr>
          </w:p>
        </w:tc>
      </w:tr>
      <w:tr w:rsidR="00B25C9F" w:rsidRPr="00244D9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B25C9F" w:rsidRPr="00244D9F" w:rsidRDefault="00B25C9F" w:rsidP="004D1125">
            <w:pPr>
              <w:autoSpaceDE w:val="0"/>
              <w:autoSpaceDN w:val="0"/>
              <w:adjustRightInd w:val="0"/>
              <w:rPr>
                <w:rFonts w:ascii="Arial" w:hAnsi="Arial" w:cs="Arial"/>
              </w:rPr>
            </w:pPr>
            <w:r>
              <w:rPr>
                <w:rFonts w:ascii="Arial" w:hAnsi="Arial" w:cs="Arial"/>
              </w:rPr>
              <w:t>3</w:t>
            </w:r>
            <w:r w:rsidRPr="00244D9F">
              <w:rPr>
                <w:rFonts w:ascii="Arial" w:hAnsi="Arial" w:cs="Arial"/>
              </w:rPr>
              <w:t>.1</w:t>
            </w:r>
          </w:p>
        </w:tc>
        <w:tc>
          <w:tcPr>
            <w:tcW w:w="8363" w:type="dxa"/>
          </w:tcPr>
          <w:p w:rsidR="00B25C9F" w:rsidRDefault="00B25C9F" w:rsidP="00B25C9F">
            <w:pPr>
              <w:jc w:val="both"/>
              <w:rPr>
                <w:rFonts w:ascii="Arial" w:hAnsi="Arial" w:cs="Arial"/>
                <w:b/>
                <w:szCs w:val="24"/>
              </w:rPr>
            </w:pPr>
            <w:r>
              <w:rPr>
                <w:rFonts w:ascii="Arial" w:hAnsi="Arial" w:cs="Arial"/>
                <w:szCs w:val="24"/>
              </w:rPr>
              <w:t>HLH’s detailed results</w:t>
            </w:r>
            <w:r w:rsidRPr="004466A5">
              <w:rPr>
                <w:rFonts w:ascii="Arial" w:hAnsi="Arial" w:cs="Arial"/>
                <w:szCs w:val="24"/>
              </w:rPr>
              <w:t xml:space="preserve"> </w:t>
            </w:r>
            <w:r>
              <w:rPr>
                <w:rFonts w:ascii="Arial" w:hAnsi="Arial" w:cs="Arial"/>
                <w:szCs w:val="24"/>
              </w:rPr>
              <w:t>are provided in the draft Gender Pay Gap Report</w:t>
            </w:r>
            <w:r w:rsidRPr="004466A5">
              <w:rPr>
                <w:rFonts w:ascii="Arial" w:hAnsi="Arial" w:cs="Arial"/>
                <w:szCs w:val="24"/>
              </w:rPr>
              <w:t xml:space="preserve"> at </w:t>
            </w:r>
            <w:r w:rsidRPr="004466A5">
              <w:rPr>
                <w:rFonts w:ascii="Arial" w:hAnsi="Arial" w:cs="Arial"/>
                <w:b/>
                <w:szCs w:val="24"/>
              </w:rPr>
              <w:t>Appendix A</w:t>
            </w:r>
            <w:r>
              <w:rPr>
                <w:rFonts w:ascii="Arial" w:hAnsi="Arial" w:cs="Arial"/>
                <w:b/>
                <w:szCs w:val="24"/>
              </w:rPr>
              <w:t>.</w:t>
            </w:r>
          </w:p>
          <w:p w:rsidR="00B25C9F" w:rsidRPr="00244D9F" w:rsidRDefault="00B25C9F" w:rsidP="00B25C9F">
            <w:pPr>
              <w:autoSpaceDE w:val="0"/>
              <w:autoSpaceDN w:val="0"/>
              <w:adjustRightInd w:val="0"/>
              <w:jc w:val="both"/>
              <w:rPr>
                <w:rFonts w:ascii="Arial" w:hAnsi="Arial" w:cs="Arial"/>
                <w:b/>
              </w:rPr>
            </w:pPr>
          </w:p>
        </w:tc>
      </w:tr>
      <w:tr w:rsidR="00F15675" w:rsidRPr="00244D9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F15675" w:rsidRDefault="00F15675" w:rsidP="004D1125">
            <w:pPr>
              <w:autoSpaceDE w:val="0"/>
              <w:autoSpaceDN w:val="0"/>
              <w:adjustRightInd w:val="0"/>
              <w:rPr>
                <w:rFonts w:ascii="Arial" w:hAnsi="Arial" w:cs="Arial"/>
              </w:rPr>
            </w:pPr>
            <w:r>
              <w:rPr>
                <w:rFonts w:ascii="Arial" w:hAnsi="Arial" w:cs="Arial"/>
              </w:rPr>
              <w:t>3.2</w:t>
            </w:r>
          </w:p>
        </w:tc>
        <w:tc>
          <w:tcPr>
            <w:tcW w:w="8363" w:type="dxa"/>
          </w:tcPr>
          <w:p w:rsidR="00EB2A77" w:rsidRPr="00E37EB7" w:rsidRDefault="00EB2A77" w:rsidP="00EB2A77">
            <w:pPr>
              <w:autoSpaceDE w:val="0"/>
              <w:autoSpaceDN w:val="0"/>
              <w:adjustRightInd w:val="0"/>
              <w:rPr>
                <w:rFonts w:ascii="Arial" w:hAnsi="Arial" w:cs="Arial"/>
                <w:szCs w:val="24"/>
              </w:rPr>
            </w:pPr>
            <w:r w:rsidRPr="00E37EB7">
              <w:rPr>
                <w:rFonts w:ascii="Arial" w:hAnsi="Arial" w:cs="Arial"/>
                <w:szCs w:val="24"/>
              </w:rPr>
              <w:t>The table below provides a comparison of the Gender Pay Gap results from 201</w:t>
            </w:r>
            <w:r>
              <w:rPr>
                <w:rFonts w:ascii="Arial" w:hAnsi="Arial" w:cs="Arial"/>
                <w:szCs w:val="24"/>
              </w:rPr>
              <w:t>6/17</w:t>
            </w:r>
            <w:r w:rsidR="007B7259">
              <w:rPr>
                <w:rFonts w:ascii="Arial" w:hAnsi="Arial" w:cs="Arial"/>
                <w:szCs w:val="24"/>
              </w:rPr>
              <w:t xml:space="preserve">, </w:t>
            </w:r>
            <w:r w:rsidRPr="00E37EB7">
              <w:rPr>
                <w:rFonts w:ascii="Arial" w:hAnsi="Arial" w:cs="Arial"/>
                <w:szCs w:val="24"/>
              </w:rPr>
              <w:t>201</w:t>
            </w:r>
            <w:r>
              <w:rPr>
                <w:rFonts w:ascii="Arial" w:hAnsi="Arial" w:cs="Arial"/>
                <w:szCs w:val="24"/>
              </w:rPr>
              <w:t>7/18</w:t>
            </w:r>
            <w:r w:rsidR="007B7259">
              <w:rPr>
                <w:rFonts w:ascii="Arial" w:hAnsi="Arial" w:cs="Arial"/>
                <w:szCs w:val="24"/>
              </w:rPr>
              <w:t xml:space="preserve"> and 2018/19</w:t>
            </w:r>
            <w:r>
              <w:rPr>
                <w:rFonts w:ascii="Arial" w:hAnsi="Arial" w:cs="Arial"/>
                <w:szCs w:val="24"/>
              </w:rPr>
              <w:t>:</w:t>
            </w:r>
            <w:r w:rsidRPr="00E37EB7">
              <w:rPr>
                <w:rFonts w:ascii="Arial" w:hAnsi="Arial" w:cs="Arial"/>
                <w:szCs w:val="24"/>
              </w:rPr>
              <w:t xml:space="preserve"> </w:t>
            </w:r>
          </w:p>
          <w:p w:rsidR="00EB2A77" w:rsidRPr="00E37EB7" w:rsidRDefault="00EB2A77" w:rsidP="00EB2A77">
            <w:pPr>
              <w:autoSpaceDE w:val="0"/>
              <w:autoSpaceDN w:val="0"/>
              <w:adjustRightInd w:val="0"/>
              <w:rPr>
                <w:rFonts w:ascii="Arial" w:hAnsi="Arial" w:cs="Arial"/>
                <w:b/>
                <w:szCs w:val="24"/>
              </w:rPr>
            </w:pPr>
          </w:p>
          <w:tbl>
            <w:tblPr>
              <w:tblStyle w:val="TableGrid1"/>
              <w:tblW w:w="8166" w:type="dxa"/>
              <w:tblLayout w:type="fixed"/>
              <w:tblLook w:val="04A0" w:firstRow="1" w:lastRow="0" w:firstColumn="1" w:lastColumn="0" w:noHBand="0" w:noVBand="1"/>
            </w:tblPr>
            <w:tblGrid>
              <w:gridCol w:w="1151"/>
              <w:gridCol w:w="3508"/>
              <w:gridCol w:w="3507"/>
            </w:tblGrid>
            <w:tr w:rsidR="00EB2A77" w:rsidRPr="00E37EB7" w:rsidTr="007E7012">
              <w:trPr>
                <w:trHeight w:val="514"/>
              </w:trPr>
              <w:tc>
                <w:tcPr>
                  <w:tcW w:w="1151" w:type="dxa"/>
                  <w:vMerge w:val="restart"/>
                  <w:tcBorders>
                    <w:top w:val="single" w:sz="4" w:space="0" w:color="auto"/>
                    <w:left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b/>
                      <w:szCs w:val="24"/>
                    </w:rPr>
                  </w:pPr>
                </w:p>
              </w:tc>
              <w:tc>
                <w:tcPr>
                  <w:tcW w:w="7015" w:type="dxa"/>
                  <w:gridSpan w:val="2"/>
                  <w:tcBorders>
                    <w:top w:val="single" w:sz="4" w:space="0" w:color="auto"/>
                    <w:left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b/>
                      <w:szCs w:val="24"/>
                    </w:rPr>
                  </w:pPr>
                  <w:r w:rsidRPr="00E37EB7">
                    <w:rPr>
                      <w:rFonts w:ascii="Arial" w:hAnsi="Arial" w:cs="Arial"/>
                      <w:b/>
                      <w:szCs w:val="24"/>
                    </w:rPr>
                    <w:t>Difference between male and female</w:t>
                  </w:r>
                </w:p>
                <w:p w:rsidR="00EB2A77" w:rsidRPr="00E37EB7" w:rsidRDefault="00EB2A77" w:rsidP="003740A1">
                  <w:pPr>
                    <w:autoSpaceDE w:val="0"/>
                    <w:autoSpaceDN w:val="0"/>
                    <w:adjustRightInd w:val="0"/>
                    <w:jc w:val="center"/>
                    <w:rPr>
                      <w:rFonts w:ascii="Arial" w:hAnsi="Arial" w:cs="Arial"/>
                      <w:b/>
                      <w:szCs w:val="24"/>
                    </w:rPr>
                  </w:pPr>
                  <w:r>
                    <w:rPr>
                      <w:rFonts w:ascii="Arial" w:hAnsi="Arial" w:cs="Arial"/>
                      <w:b/>
                      <w:szCs w:val="24"/>
                    </w:rPr>
                    <w:t>h</w:t>
                  </w:r>
                  <w:r w:rsidRPr="00E37EB7">
                    <w:rPr>
                      <w:rFonts w:ascii="Arial" w:hAnsi="Arial" w:cs="Arial"/>
                      <w:b/>
                      <w:szCs w:val="24"/>
                    </w:rPr>
                    <w:t>ourly fixed pay</w:t>
                  </w:r>
                </w:p>
              </w:tc>
            </w:tr>
            <w:tr w:rsidR="00EB2A77" w:rsidRPr="00E37EB7" w:rsidTr="007E7012">
              <w:trPr>
                <w:trHeight w:val="315"/>
              </w:trPr>
              <w:tc>
                <w:tcPr>
                  <w:tcW w:w="1151" w:type="dxa"/>
                  <w:vMerge/>
                  <w:tcBorders>
                    <w:left w:val="single" w:sz="4" w:space="0" w:color="auto"/>
                    <w:bottom w:val="single" w:sz="4" w:space="0" w:color="auto"/>
                    <w:right w:val="single" w:sz="4" w:space="0" w:color="auto"/>
                  </w:tcBorders>
                </w:tcPr>
                <w:p w:rsidR="00EB2A77" w:rsidRPr="00E37EB7" w:rsidRDefault="00EB2A77" w:rsidP="003740A1">
                  <w:pPr>
                    <w:autoSpaceDE w:val="0"/>
                    <w:autoSpaceDN w:val="0"/>
                    <w:adjustRightInd w:val="0"/>
                    <w:rPr>
                      <w:rFonts w:ascii="Arial" w:hAnsi="Arial" w:cs="Arial"/>
                      <w:szCs w:val="24"/>
                    </w:rPr>
                  </w:pPr>
                </w:p>
              </w:tc>
              <w:tc>
                <w:tcPr>
                  <w:tcW w:w="3508" w:type="dxa"/>
                  <w:tcBorders>
                    <w:top w:val="single" w:sz="4" w:space="0" w:color="auto"/>
                    <w:left w:val="single" w:sz="4" w:space="0" w:color="auto"/>
                    <w:bottom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b/>
                      <w:szCs w:val="24"/>
                    </w:rPr>
                  </w:pPr>
                  <w:r w:rsidRPr="00E37EB7">
                    <w:rPr>
                      <w:rFonts w:ascii="Arial" w:hAnsi="Arial" w:cs="Arial"/>
                      <w:b/>
                      <w:szCs w:val="24"/>
                    </w:rPr>
                    <w:t>Mean</w:t>
                  </w:r>
                  <w:r w:rsidR="00BD05D4">
                    <w:rPr>
                      <w:rFonts w:ascii="Arial" w:hAnsi="Arial" w:cs="Arial"/>
                      <w:b/>
                      <w:szCs w:val="24"/>
                    </w:rPr>
                    <w:t xml:space="preserve"> (average)</w:t>
                  </w:r>
                  <w:r w:rsidRPr="00E37EB7">
                    <w:rPr>
                      <w:rFonts w:ascii="Arial" w:hAnsi="Arial" w:cs="Arial"/>
                      <w:b/>
                      <w:szCs w:val="24"/>
                    </w:rPr>
                    <w:t xml:space="preserve"> Pay Gap</w:t>
                  </w:r>
                </w:p>
              </w:tc>
              <w:tc>
                <w:tcPr>
                  <w:tcW w:w="3507" w:type="dxa"/>
                  <w:tcBorders>
                    <w:top w:val="single" w:sz="4" w:space="0" w:color="auto"/>
                    <w:left w:val="single" w:sz="4" w:space="0" w:color="auto"/>
                    <w:bottom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b/>
                      <w:szCs w:val="24"/>
                    </w:rPr>
                  </w:pPr>
                  <w:r w:rsidRPr="00E37EB7">
                    <w:rPr>
                      <w:rFonts w:ascii="Arial" w:hAnsi="Arial" w:cs="Arial"/>
                      <w:b/>
                      <w:szCs w:val="24"/>
                    </w:rPr>
                    <w:t>Median</w:t>
                  </w:r>
                  <w:r w:rsidR="00BD05D4">
                    <w:rPr>
                      <w:rFonts w:ascii="Arial" w:hAnsi="Arial" w:cs="Arial"/>
                      <w:b/>
                      <w:szCs w:val="24"/>
                    </w:rPr>
                    <w:t xml:space="preserve"> (midpoint)</w:t>
                  </w:r>
                  <w:r w:rsidRPr="00E37EB7">
                    <w:rPr>
                      <w:rFonts w:ascii="Arial" w:hAnsi="Arial" w:cs="Arial"/>
                      <w:b/>
                      <w:szCs w:val="24"/>
                    </w:rPr>
                    <w:t xml:space="preserve"> Pay Gap</w:t>
                  </w:r>
                </w:p>
              </w:tc>
            </w:tr>
            <w:tr w:rsidR="00EB2A77" w:rsidRPr="00E37EB7" w:rsidTr="007E7012">
              <w:trPr>
                <w:trHeight w:val="437"/>
              </w:trPr>
              <w:tc>
                <w:tcPr>
                  <w:tcW w:w="1151" w:type="dxa"/>
                  <w:tcBorders>
                    <w:top w:val="single" w:sz="4" w:space="0" w:color="auto"/>
                    <w:left w:val="single" w:sz="4" w:space="0" w:color="auto"/>
                    <w:bottom w:val="single" w:sz="4" w:space="0" w:color="auto"/>
                    <w:right w:val="single" w:sz="4" w:space="0" w:color="auto"/>
                  </w:tcBorders>
                  <w:hideMark/>
                </w:tcPr>
                <w:p w:rsidR="00EB2A77" w:rsidRPr="00E37EB7" w:rsidRDefault="00EB2A77" w:rsidP="003740A1">
                  <w:pPr>
                    <w:autoSpaceDE w:val="0"/>
                    <w:autoSpaceDN w:val="0"/>
                    <w:adjustRightInd w:val="0"/>
                    <w:rPr>
                      <w:rFonts w:ascii="Arial" w:hAnsi="Arial" w:cs="Arial"/>
                      <w:b/>
                      <w:szCs w:val="24"/>
                    </w:rPr>
                  </w:pPr>
                  <w:r w:rsidRPr="00E37EB7">
                    <w:rPr>
                      <w:rFonts w:ascii="Arial" w:hAnsi="Arial" w:cs="Arial"/>
                      <w:b/>
                      <w:szCs w:val="24"/>
                    </w:rPr>
                    <w:t>201</w:t>
                  </w:r>
                  <w:r>
                    <w:rPr>
                      <w:rFonts w:ascii="Arial" w:hAnsi="Arial" w:cs="Arial"/>
                      <w:b/>
                      <w:szCs w:val="24"/>
                    </w:rPr>
                    <w:t>6/17</w:t>
                  </w:r>
                </w:p>
              </w:tc>
              <w:tc>
                <w:tcPr>
                  <w:tcW w:w="3508" w:type="dxa"/>
                  <w:tcBorders>
                    <w:top w:val="single" w:sz="4" w:space="0" w:color="auto"/>
                    <w:left w:val="single" w:sz="4" w:space="0" w:color="auto"/>
                    <w:bottom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szCs w:val="24"/>
                    </w:rPr>
                  </w:pPr>
                  <w:r w:rsidRPr="00E37EB7">
                    <w:rPr>
                      <w:rFonts w:ascii="Arial" w:hAnsi="Arial" w:cs="Arial"/>
                      <w:szCs w:val="24"/>
                    </w:rPr>
                    <w:t>5.4%</w:t>
                  </w:r>
                </w:p>
              </w:tc>
              <w:tc>
                <w:tcPr>
                  <w:tcW w:w="3507" w:type="dxa"/>
                  <w:tcBorders>
                    <w:top w:val="single" w:sz="4" w:space="0" w:color="auto"/>
                    <w:left w:val="single" w:sz="4" w:space="0" w:color="auto"/>
                    <w:bottom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szCs w:val="24"/>
                    </w:rPr>
                  </w:pPr>
                  <w:r w:rsidRPr="00E37EB7">
                    <w:rPr>
                      <w:rFonts w:ascii="Arial" w:hAnsi="Arial" w:cs="Arial"/>
                      <w:szCs w:val="24"/>
                    </w:rPr>
                    <w:t>4.3%</w:t>
                  </w:r>
                </w:p>
              </w:tc>
            </w:tr>
            <w:tr w:rsidR="00EB2A77" w:rsidRPr="00E37EB7" w:rsidTr="007E7012">
              <w:trPr>
                <w:trHeight w:val="508"/>
              </w:trPr>
              <w:tc>
                <w:tcPr>
                  <w:tcW w:w="1151" w:type="dxa"/>
                  <w:tcBorders>
                    <w:top w:val="single" w:sz="4" w:space="0" w:color="auto"/>
                    <w:left w:val="single" w:sz="4" w:space="0" w:color="auto"/>
                    <w:bottom w:val="single" w:sz="4" w:space="0" w:color="auto"/>
                    <w:right w:val="single" w:sz="4" w:space="0" w:color="auto"/>
                  </w:tcBorders>
                  <w:hideMark/>
                </w:tcPr>
                <w:p w:rsidR="00EB2A77" w:rsidRPr="00E37EB7" w:rsidRDefault="00EB2A77" w:rsidP="003740A1">
                  <w:pPr>
                    <w:autoSpaceDE w:val="0"/>
                    <w:autoSpaceDN w:val="0"/>
                    <w:adjustRightInd w:val="0"/>
                    <w:spacing w:line="276" w:lineRule="auto"/>
                    <w:rPr>
                      <w:rFonts w:ascii="Arial" w:hAnsi="Arial" w:cs="Arial"/>
                      <w:b/>
                      <w:szCs w:val="24"/>
                    </w:rPr>
                  </w:pPr>
                  <w:r w:rsidRPr="00E37EB7">
                    <w:rPr>
                      <w:rFonts w:ascii="Arial" w:hAnsi="Arial" w:cs="Arial"/>
                      <w:b/>
                      <w:szCs w:val="24"/>
                    </w:rPr>
                    <w:t>201</w:t>
                  </w:r>
                  <w:r>
                    <w:rPr>
                      <w:rFonts w:ascii="Arial" w:hAnsi="Arial" w:cs="Arial"/>
                      <w:b/>
                      <w:szCs w:val="24"/>
                    </w:rPr>
                    <w:t>7/18</w:t>
                  </w:r>
                </w:p>
              </w:tc>
              <w:tc>
                <w:tcPr>
                  <w:tcW w:w="3508" w:type="dxa"/>
                  <w:tcBorders>
                    <w:top w:val="single" w:sz="4" w:space="0" w:color="auto"/>
                    <w:left w:val="single" w:sz="4" w:space="0" w:color="auto"/>
                    <w:bottom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szCs w:val="24"/>
                    </w:rPr>
                  </w:pPr>
                  <w:r w:rsidRPr="00E37EB7">
                    <w:rPr>
                      <w:rFonts w:ascii="Arial" w:hAnsi="Arial" w:cs="Arial"/>
                      <w:szCs w:val="24"/>
                    </w:rPr>
                    <w:t>5.3%</w:t>
                  </w:r>
                </w:p>
              </w:tc>
              <w:tc>
                <w:tcPr>
                  <w:tcW w:w="3507" w:type="dxa"/>
                  <w:tcBorders>
                    <w:top w:val="single" w:sz="4" w:space="0" w:color="auto"/>
                    <w:left w:val="single" w:sz="4" w:space="0" w:color="auto"/>
                    <w:bottom w:val="single" w:sz="4" w:space="0" w:color="auto"/>
                    <w:right w:val="single" w:sz="4" w:space="0" w:color="auto"/>
                  </w:tcBorders>
                </w:tcPr>
                <w:p w:rsidR="00EB2A77" w:rsidRPr="00E37EB7" w:rsidRDefault="00EB2A77" w:rsidP="003740A1">
                  <w:pPr>
                    <w:autoSpaceDE w:val="0"/>
                    <w:autoSpaceDN w:val="0"/>
                    <w:adjustRightInd w:val="0"/>
                    <w:jc w:val="center"/>
                    <w:rPr>
                      <w:rFonts w:ascii="Arial" w:hAnsi="Arial" w:cs="Arial"/>
                      <w:szCs w:val="24"/>
                    </w:rPr>
                  </w:pPr>
                  <w:r w:rsidRPr="00E37EB7">
                    <w:rPr>
                      <w:rFonts w:ascii="Arial" w:hAnsi="Arial" w:cs="Arial"/>
                      <w:szCs w:val="24"/>
                    </w:rPr>
                    <w:t>7.2%</w:t>
                  </w:r>
                </w:p>
              </w:tc>
            </w:tr>
            <w:tr w:rsidR="007B7259" w:rsidRPr="00E37EB7" w:rsidTr="007E7012">
              <w:trPr>
                <w:trHeight w:val="508"/>
              </w:trPr>
              <w:tc>
                <w:tcPr>
                  <w:tcW w:w="1151" w:type="dxa"/>
                  <w:tcBorders>
                    <w:top w:val="single" w:sz="4" w:space="0" w:color="auto"/>
                    <w:left w:val="single" w:sz="4" w:space="0" w:color="auto"/>
                    <w:bottom w:val="single" w:sz="4" w:space="0" w:color="auto"/>
                    <w:right w:val="single" w:sz="4" w:space="0" w:color="auto"/>
                  </w:tcBorders>
                </w:tcPr>
                <w:p w:rsidR="007B7259" w:rsidRPr="00E37EB7" w:rsidRDefault="007B7259" w:rsidP="003740A1">
                  <w:pPr>
                    <w:autoSpaceDE w:val="0"/>
                    <w:autoSpaceDN w:val="0"/>
                    <w:adjustRightInd w:val="0"/>
                    <w:spacing w:line="276" w:lineRule="auto"/>
                    <w:rPr>
                      <w:rFonts w:ascii="Arial" w:hAnsi="Arial" w:cs="Arial"/>
                      <w:b/>
                      <w:szCs w:val="24"/>
                    </w:rPr>
                  </w:pPr>
                  <w:r>
                    <w:rPr>
                      <w:rFonts w:ascii="Arial" w:hAnsi="Arial" w:cs="Arial"/>
                      <w:b/>
                      <w:szCs w:val="24"/>
                    </w:rPr>
                    <w:t>2018/19</w:t>
                  </w:r>
                </w:p>
              </w:tc>
              <w:tc>
                <w:tcPr>
                  <w:tcW w:w="3508" w:type="dxa"/>
                  <w:tcBorders>
                    <w:top w:val="single" w:sz="4" w:space="0" w:color="auto"/>
                    <w:left w:val="single" w:sz="4" w:space="0" w:color="auto"/>
                    <w:bottom w:val="single" w:sz="4" w:space="0" w:color="auto"/>
                    <w:right w:val="single" w:sz="4" w:space="0" w:color="auto"/>
                  </w:tcBorders>
                </w:tcPr>
                <w:p w:rsidR="007B7259" w:rsidRPr="00E37EB7" w:rsidRDefault="007B7259" w:rsidP="003740A1">
                  <w:pPr>
                    <w:autoSpaceDE w:val="0"/>
                    <w:autoSpaceDN w:val="0"/>
                    <w:adjustRightInd w:val="0"/>
                    <w:jc w:val="center"/>
                    <w:rPr>
                      <w:rFonts w:ascii="Arial" w:hAnsi="Arial" w:cs="Arial"/>
                      <w:szCs w:val="24"/>
                    </w:rPr>
                  </w:pPr>
                  <w:r>
                    <w:rPr>
                      <w:rFonts w:ascii="Arial" w:hAnsi="Arial" w:cs="Arial"/>
                      <w:szCs w:val="24"/>
                    </w:rPr>
                    <w:t>7.3%</w:t>
                  </w:r>
                </w:p>
              </w:tc>
              <w:tc>
                <w:tcPr>
                  <w:tcW w:w="3507" w:type="dxa"/>
                  <w:tcBorders>
                    <w:top w:val="single" w:sz="4" w:space="0" w:color="auto"/>
                    <w:left w:val="single" w:sz="4" w:space="0" w:color="auto"/>
                    <w:bottom w:val="single" w:sz="4" w:space="0" w:color="auto"/>
                    <w:right w:val="single" w:sz="4" w:space="0" w:color="auto"/>
                  </w:tcBorders>
                </w:tcPr>
                <w:p w:rsidR="007B7259" w:rsidRPr="00E37EB7" w:rsidRDefault="007B7259" w:rsidP="003740A1">
                  <w:pPr>
                    <w:autoSpaceDE w:val="0"/>
                    <w:autoSpaceDN w:val="0"/>
                    <w:adjustRightInd w:val="0"/>
                    <w:jc w:val="center"/>
                    <w:rPr>
                      <w:rFonts w:ascii="Arial" w:hAnsi="Arial" w:cs="Arial"/>
                      <w:szCs w:val="24"/>
                    </w:rPr>
                  </w:pPr>
                  <w:r>
                    <w:rPr>
                      <w:rFonts w:ascii="Arial" w:hAnsi="Arial" w:cs="Arial"/>
                      <w:szCs w:val="24"/>
                    </w:rPr>
                    <w:t>0.0%</w:t>
                  </w:r>
                </w:p>
              </w:tc>
            </w:tr>
          </w:tbl>
          <w:p w:rsidR="00F15675" w:rsidRDefault="00F15675" w:rsidP="00EB2A77">
            <w:pPr>
              <w:spacing w:line="276" w:lineRule="auto"/>
              <w:jc w:val="both"/>
              <w:rPr>
                <w:rFonts w:ascii="Arial" w:hAnsi="Arial" w:cs="Arial"/>
                <w:szCs w:val="24"/>
              </w:rPr>
            </w:pPr>
          </w:p>
        </w:tc>
      </w:tr>
      <w:tr w:rsidR="00F15675" w:rsidRPr="00244D9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F15675" w:rsidRPr="00EB2A77" w:rsidRDefault="00F15675" w:rsidP="004D1125">
            <w:pPr>
              <w:autoSpaceDE w:val="0"/>
              <w:autoSpaceDN w:val="0"/>
              <w:adjustRightInd w:val="0"/>
              <w:rPr>
                <w:rFonts w:ascii="Arial" w:hAnsi="Arial" w:cs="Arial"/>
                <w:highlight w:val="yellow"/>
              </w:rPr>
            </w:pPr>
          </w:p>
        </w:tc>
        <w:tc>
          <w:tcPr>
            <w:tcW w:w="8363" w:type="dxa"/>
          </w:tcPr>
          <w:p w:rsidR="00F15675" w:rsidRPr="00EB2A77" w:rsidRDefault="00F15675" w:rsidP="007E7012">
            <w:pPr>
              <w:spacing w:line="276" w:lineRule="auto"/>
              <w:jc w:val="both"/>
              <w:rPr>
                <w:rFonts w:ascii="Arial" w:hAnsi="Arial" w:cs="Arial"/>
                <w:szCs w:val="24"/>
                <w:highlight w:val="yellow"/>
              </w:rPr>
            </w:pPr>
          </w:p>
        </w:tc>
      </w:tr>
      <w:tr w:rsidR="00F15675" w:rsidRPr="00244D9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F15675" w:rsidRDefault="00F15675" w:rsidP="004D1125">
            <w:pPr>
              <w:autoSpaceDE w:val="0"/>
              <w:autoSpaceDN w:val="0"/>
              <w:adjustRightInd w:val="0"/>
              <w:rPr>
                <w:rFonts w:ascii="Arial" w:hAnsi="Arial" w:cs="Arial"/>
              </w:rPr>
            </w:pPr>
            <w:r>
              <w:rPr>
                <w:rFonts w:ascii="Arial" w:hAnsi="Arial" w:cs="Arial"/>
              </w:rPr>
              <w:t>3.</w:t>
            </w:r>
            <w:r w:rsidR="007E7012">
              <w:rPr>
                <w:rFonts w:ascii="Arial" w:hAnsi="Arial" w:cs="Arial"/>
              </w:rPr>
              <w:t>3</w:t>
            </w:r>
          </w:p>
        </w:tc>
        <w:tc>
          <w:tcPr>
            <w:tcW w:w="8363" w:type="dxa"/>
          </w:tcPr>
          <w:p w:rsidR="007E7012" w:rsidRPr="00C53583" w:rsidRDefault="00EB2A77" w:rsidP="00E873F9">
            <w:pPr>
              <w:jc w:val="both"/>
              <w:rPr>
                <w:rFonts w:ascii="Arial" w:hAnsi="Arial" w:cs="Arial"/>
                <w:szCs w:val="24"/>
                <w:highlight w:val="yellow"/>
              </w:rPr>
            </w:pPr>
            <w:r>
              <w:rPr>
                <w:rFonts w:ascii="Arial" w:hAnsi="Arial" w:cs="Arial"/>
                <w:szCs w:val="24"/>
              </w:rPr>
              <w:t>With no significant changes in the male to female ratio (1:2)</w:t>
            </w:r>
            <w:r w:rsidR="00BD05D4">
              <w:rPr>
                <w:rFonts w:ascii="Arial" w:hAnsi="Arial" w:cs="Arial"/>
                <w:szCs w:val="24"/>
              </w:rPr>
              <w:t xml:space="preserve"> across the whole organisation;</w:t>
            </w:r>
            <w:r w:rsidR="006C6225">
              <w:rPr>
                <w:rFonts w:ascii="Arial" w:hAnsi="Arial" w:cs="Arial"/>
                <w:szCs w:val="24"/>
              </w:rPr>
              <w:t xml:space="preserve"> </w:t>
            </w:r>
            <w:r>
              <w:rPr>
                <w:rFonts w:ascii="Arial" w:hAnsi="Arial" w:cs="Arial"/>
                <w:szCs w:val="24"/>
              </w:rPr>
              <w:t xml:space="preserve">there has been </w:t>
            </w:r>
            <w:r w:rsidR="007B7259">
              <w:rPr>
                <w:rFonts w:ascii="Arial" w:hAnsi="Arial" w:cs="Arial"/>
                <w:szCs w:val="24"/>
              </w:rPr>
              <w:t>a 2% increase</w:t>
            </w:r>
            <w:r>
              <w:rPr>
                <w:rFonts w:ascii="Arial" w:hAnsi="Arial" w:cs="Arial"/>
                <w:szCs w:val="24"/>
              </w:rPr>
              <w:t xml:space="preserve"> to the </w:t>
            </w:r>
            <w:r w:rsidRPr="007E7012">
              <w:rPr>
                <w:rFonts w:ascii="Arial" w:hAnsi="Arial" w:cs="Arial"/>
                <w:szCs w:val="24"/>
              </w:rPr>
              <w:t>mean pay gap.</w:t>
            </w:r>
            <w:r w:rsidR="007E7012" w:rsidRPr="007E7012">
              <w:rPr>
                <w:rFonts w:ascii="Arial" w:hAnsi="Arial" w:cs="Arial"/>
                <w:szCs w:val="24"/>
              </w:rPr>
              <w:t xml:space="preserve"> The level of Gender Pay Gap reported relates to the number of males </w:t>
            </w:r>
            <w:r w:rsidR="00BD05D4">
              <w:rPr>
                <w:rFonts w:ascii="Arial" w:hAnsi="Arial" w:cs="Arial"/>
                <w:szCs w:val="24"/>
              </w:rPr>
              <w:t>compared against females in positions ranked</w:t>
            </w:r>
            <w:r w:rsidR="007E7012" w:rsidRPr="007E7012">
              <w:rPr>
                <w:rFonts w:ascii="Arial" w:hAnsi="Arial" w:cs="Arial"/>
                <w:szCs w:val="24"/>
              </w:rPr>
              <w:t xml:space="preserve"> </w:t>
            </w:r>
            <w:r w:rsidR="00582AFB" w:rsidRPr="00C53583">
              <w:rPr>
                <w:rFonts w:ascii="Arial" w:hAnsi="Arial" w:cs="Arial"/>
                <w:szCs w:val="24"/>
              </w:rPr>
              <w:t>in the highest pay quartile</w:t>
            </w:r>
            <w:r w:rsidR="00582AFB" w:rsidRPr="007E7012">
              <w:rPr>
                <w:rFonts w:ascii="Arial" w:hAnsi="Arial" w:cs="Arial"/>
                <w:szCs w:val="24"/>
              </w:rPr>
              <w:t xml:space="preserve"> </w:t>
            </w:r>
            <w:r w:rsidR="007E7012" w:rsidRPr="007E7012">
              <w:rPr>
                <w:rFonts w:ascii="Arial" w:hAnsi="Arial" w:cs="Arial"/>
                <w:szCs w:val="24"/>
              </w:rPr>
              <w:t>according to hourly pay rate</w:t>
            </w:r>
            <w:r w:rsidR="00FB11C6" w:rsidRPr="00C53583">
              <w:rPr>
                <w:rFonts w:ascii="Arial" w:hAnsi="Arial" w:cs="Arial"/>
                <w:szCs w:val="24"/>
              </w:rPr>
              <w:t>,</w:t>
            </w:r>
            <w:r w:rsidR="007E7012" w:rsidRPr="00C53583">
              <w:rPr>
                <w:rFonts w:ascii="Arial" w:hAnsi="Arial" w:cs="Arial"/>
                <w:szCs w:val="24"/>
              </w:rPr>
              <w:t xml:space="preserve"> 4</w:t>
            </w:r>
            <w:r w:rsidR="00C53583">
              <w:rPr>
                <w:rFonts w:ascii="Arial" w:hAnsi="Arial" w:cs="Arial"/>
                <w:szCs w:val="24"/>
              </w:rPr>
              <w:t xml:space="preserve"> (see</w:t>
            </w:r>
            <w:r w:rsidR="00FB11C6" w:rsidRPr="00C53583">
              <w:rPr>
                <w:rFonts w:ascii="Arial" w:hAnsi="Arial" w:cs="Arial"/>
                <w:szCs w:val="24"/>
              </w:rPr>
              <w:t xml:space="preserve"> </w:t>
            </w:r>
            <w:r w:rsidR="00FB11C6" w:rsidRPr="00C53583">
              <w:rPr>
                <w:rFonts w:ascii="Arial" w:hAnsi="Arial" w:cs="Arial"/>
                <w:b/>
                <w:szCs w:val="24"/>
              </w:rPr>
              <w:t xml:space="preserve">Appendix </w:t>
            </w:r>
            <w:r w:rsidR="00C53583" w:rsidRPr="00C53583">
              <w:rPr>
                <w:rFonts w:ascii="Arial" w:hAnsi="Arial" w:cs="Arial"/>
                <w:b/>
                <w:szCs w:val="24"/>
              </w:rPr>
              <w:t>A</w:t>
            </w:r>
            <w:r w:rsidR="00C53583">
              <w:rPr>
                <w:rFonts w:ascii="Arial" w:hAnsi="Arial" w:cs="Arial"/>
                <w:szCs w:val="24"/>
              </w:rPr>
              <w:t>)</w:t>
            </w:r>
          </w:p>
          <w:p w:rsidR="00F15675" w:rsidRDefault="00F15675" w:rsidP="00E873F9">
            <w:pPr>
              <w:jc w:val="both"/>
              <w:rPr>
                <w:rFonts w:ascii="Arial" w:hAnsi="Arial" w:cs="Arial"/>
                <w:szCs w:val="24"/>
              </w:rPr>
            </w:pPr>
          </w:p>
        </w:tc>
      </w:tr>
      <w:tr w:rsidR="007B7259" w:rsidRPr="00244D9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7B7259" w:rsidRDefault="007B7259" w:rsidP="004D1125">
            <w:pPr>
              <w:autoSpaceDE w:val="0"/>
              <w:autoSpaceDN w:val="0"/>
              <w:adjustRightInd w:val="0"/>
              <w:rPr>
                <w:rFonts w:ascii="Arial" w:hAnsi="Arial" w:cs="Arial"/>
              </w:rPr>
            </w:pPr>
            <w:r>
              <w:rPr>
                <w:rFonts w:ascii="Arial" w:hAnsi="Arial" w:cs="Arial"/>
              </w:rPr>
              <w:t>3.</w:t>
            </w:r>
            <w:r w:rsidR="00582AFB">
              <w:rPr>
                <w:rFonts w:ascii="Arial" w:hAnsi="Arial" w:cs="Arial"/>
              </w:rPr>
              <w:t>4</w:t>
            </w:r>
          </w:p>
        </w:tc>
        <w:tc>
          <w:tcPr>
            <w:tcW w:w="8363" w:type="dxa"/>
          </w:tcPr>
          <w:p w:rsidR="007B7259" w:rsidRDefault="00EE7F73" w:rsidP="00EE7F73">
            <w:pPr>
              <w:jc w:val="both"/>
              <w:rPr>
                <w:rFonts w:ascii="Arial" w:hAnsi="Arial" w:cs="Arial"/>
                <w:szCs w:val="24"/>
              </w:rPr>
            </w:pPr>
            <w:r>
              <w:rPr>
                <w:rFonts w:ascii="Arial" w:hAnsi="Arial" w:cs="Arial"/>
                <w:szCs w:val="24"/>
              </w:rPr>
              <w:t xml:space="preserve">The appointment of </w:t>
            </w:r>
            <w:r w:rsidR="002127F3">
              <w:rPr>
                <w:rFonts w:ascii="Arial" w:hAnsi="Arial" w:cs="Arial"/>
                <w:szCs w:val="24"/>
              </w:rPr>
              <w:t>three</w:t>
            </w:r>
            <w:r>
              <w:rPr>
                <w:rFonts w:ascii="Arial" w:hAnsi="Arial" w:cs="Arial"/>
                <w:szCs w:val="24"/>
              </w:rPr>
              <w:t xml:space="preserve"> males into </w:t>
            </w:r>
            <w:r w:rsidR="005F649D">
              <w:rPr>
                <w:rFonts w:ascii="Arial" w:hAnsi="Arial" w:cs="Arial"/>
                <w:szCs w:val="24"/>
              </w:rPr>
              <w:t xml:space="preserve">three of the </w:t>
            </w:r>
            <w:r w:rsidR="00D83AD1">
              <w:rPr>
                <w:rFonts w:ascii="Arial" w:hAnsi="Arial" w:cs="Arial"/>
                <w:szCs w:val="24"/>
              </w:rPr>
              <w:t xml:space="preserve">highest </w:t>
            </w:r>
            <w:r>
              <w:rPr>
                <w:rFonts w:ascii="Arial" w:hAnsi="Arial" w:cs="Arial"/>
                <w:szCs w:val="24"/>
              </w:rPr>
              <w:t>senior management positions has resulted in an increase in the mean pay gap for the 2018/19 period.</w:t>
            </w:r>
          </w:p>
          <w:p w:rsidR="00EE7F73" w:rsidRDefault="00EE7F73" w:rsidP="00EE7F73">
            <w:pPr>
              <w:jc w:val="both"/>
              <w:rPr>
                <w:rFonts w:ascii="Arial" w:hAnsi="Arial" w:cs="Arial"/>
                <w:szCs w:val="24"/>
              </w:rPr>
            </w:pPr>
          </w:p>
        </w:tc>
      </w:tr>
      <w:tr w:rsidR="003B3C34" w:rsidRPr="00244D9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3B3C34" w:rsidRDefault="00E37EB7" w:rsidP="00F15675">
            <w:pPr>
              <w:autoSpaceDE w:val="0"/>
              <w:autoSpaceDN w:val="0"/>
              <w:adjustRightInd w:val="0"/>
              <w:rPr>
                <w:rFonts w:ascii="Arial" w:hAnsi="Arial" w:cs="Arial"/>
              </w:rPr>
            </w:pPr>
            <w:r>
              <w:rPr>
                <w:rFonts w:ascii="Arial" w:hAnsi="Arial" w:cs="Arial"/>
              </w:rPr>
              <w:t>3.</w:t>
            </w:r>
            <w:r w:rsidR="00582AFB">
              <w:rPr>
                <w:rFonts w:ascii="Arial" w:hAnsi="Arial" w:cs="Arial"/>
              </w:rPr>
              <w:t>5</w:t>
            </w:r>
          </w:p>
          <w:p w:rsidR="00B136F8" w:rsidRDefault="00B136F8" w:rsidP="00F15675">
            <w:pPr>
              <w:autoSpaceDE w:val="0"/>
              <w:autoSpaceDN w:val="0"/>
              <w:adjustRightInd w:val="0"/>
              <w:rPr>
                <w:rFonts w:ascii="Arial" w:hAnsi="Arial" w:cs="Arial"/>
              </w:rPr>
            </w:pPr>
          </w:p>
          <w:p w:rsidR="006C6225" w:rsidRDefault="006C6225" w:rsidP="00F15675">
            <w:pPr>
              <w:autoSpaceDE w:val="0"/>
              <w:autoSpaceDN w:val="0"/>
              <w:adjustRightInd w:val="0"/>
              <w:rPr>
                <w:rFonts w:ascii="Arial" w:hAnsi="Arial" w:cs="Arial"/>
              </w:rPr>
            </w:pPr>
          </w:p>
          <w:p w:rsidR="00D764CB" w:rsidRDefault="00D764CB" w:rsidP="00F15675">
            <w:pPr>
              <w:autoSpaceDE w:val="0"/>
              <w:autoSpaceDN w:val="0"/>
              <w:adjustRightInd w:val="0"/>
              <w:rPr>
                <w:rFonts w:ascii="Arial" w:hAnsi="Arial" w:cs="Arial"/>
              </w:rPr>
            </w:pPr>
          </w:p>
          <w:p w:rsidR="00582AFB" w:rsidRDefault="00582AFB" w:rsidP="00F15675">
            <w:pPr>
              <w:autoSpaceDE w:val="0"/>
              <w:autoSpaceDN w:val="0"/>
              <w:adjustRightInd w:val="0"/>
              <w:rPr>
                <w:rFonts w:ascii="Arial" w:hAnsi="Arial" w:cs="Arial"/>
              </w:rPr>
            </w:pPr>
          </w:p>
          <w:p w:rsidR="00582AFB" w:rsidRDefault="00582AFB" w:rsidP="00F15675">
            <w:pPr>
              <w:autoSpaceDE w:val="0"/>
              <w:autoSpaceDN w:val="0"/>
              <w:adjustRightInd w:val="0"/>
              <w:rPr>
                <w:rFonts w:ascii="Arial" w:hAnsi="Arial" w:cs="Arial"/>
              </w:rPr>
            </w:pPr>
          </w:p>
          <w:p w:rsidR="00582AFB" w:rsidRDefault="00582AFB" w:rsidP="00F15675">
            <w:pPr>
              <w:autoSpaceDE w:val="0"/>
              <w:autoSpaceDN w:val="0"/>
              <w:adjustRightInd w:val="0"/>
              <w:rPr>
                <w:rFonts w:ascii="Arial" w:hAnsi="Arial" w:cs="Arial"/>
              </w:rPr>
            </w:pPr>
          </w:p>
          <w:p w:rsidR="00582AFB" w:rsidRDefault="00582AFB" w:rsidP="00F15675">
            <w:pPr>
              <w:autoSpaceDE w:val="0"/>
              <w:autoSpaceDN w:val="0"/>
              <w:adjustRightInd w:val="0"/>
              <w:rPr>
                <w:rFonts w:ascii="Arial" w:hAnsi="Arial" w:cs="Arial"/>
              </w:rPr>
            </w:pPr>
          </w:p>
          <w:p w:rsidR="00B136F8" w:rsidRDefault="007E7012" w:rsidP="00F15675">
            <w:pPr>
              <w:autoSpaceDE w:val="0"/>
              <w:autoSpaceDN w:val="0"/>
              <w:adjustRightInd w:val="0"/>
              <w:rPr>
                <w:rFonts w:ascii="Arial" w:hAnsi="Arial" w:cs="Arial"/>
              </w:rPr>
            </w:pPr>
            <w:r>
              <w:rPr>
                <w:rFonts w:ascii="Arial" w:hAnsi="Arial" w:cs="Arial"/>
              </w:rPr>
              <w:t>3.</w:t>
            </w:r>
            <w:r w:rsidR="00582AFB">
              <w:rPr>
                <w:rFonts w:ascii="Arial" w:hAnsi="Arial" w:cs="Arial"/>
              </w:rPr>
              <w:t>6</w:t>
            </w:r>
          </w:p>
          <w:p w:rsidR="00B136F8" w:rsidRDefault="00B136F8" w:rsidP="00F15675">
            <w:pPr>
              <w:autoSpaceDE w:val="0"/>
              <w:autoSpaceDN w:val="0"/>
              <w:adjustRightInd w:val="0"/>
              <w:rPr>
                <w:rFonts w:ascii="Arial" w:hAnsi="Arial" w:cs="Arial"/>
              </w:rPr>
            </w:pPr>
          </w:p>
          <w:p w:rsidR="006C6225" w:rsidRDefault="006C6225" w:rsidP="00F15675">
            <w:pPr>
              <w:autoSpaceDE w:val="0"/>
              <w:autoSpaceDN w:val="0"/>
              <w:adjustRightInd w:val="0"/>
              <w:rPr>
                <w:rFonts w:ascii="Arial" w:hAnsi="Arial" w:cs="Arial"/>
              </w:rPr>
            </w:pPr>
          </w:p>
          <w:p w:rsidR="00B136F8" w:rsidRDefault="00B136F8" w:rsidP="00F15675">
            <w:pPr>
              <w:autoSpaceDE w:val="0"/>
              <w:autoSpaceDN w:val="0"/>
              <w:adjustRightInd w:val="0"/>
              <w:rPr>
                <w:rFonts w:ascii="Arial" w:hAnsi="Arial" w:cs="Arial"/>
              </w:rPr>
            </w:pPr>
          </w:p>
          <w:p w:rsidR="00F15675" w:rsidRDefault="00F15675" w:rsidP="00F15675">
            <w:pPr>
              <w:autoSpaceDE w:val="0"/>
              <w:autoSpaceDN w:val="0"/>
              <w:adjustRightInd w:val="0"/>
              <w:rPr>
                <w:rFonts w:ascii="Arial" w:hAnsi="Arial" w:cs="Arial"/>
              </w:rPr>
            </w:pPr>
          </w:p>
          <w:p w:rsidR="00F15675" w:rsidRDefault="00F15675" w:rsidP="00F15675">
            <w:pPr>
              <w:autoSpaceDE w:val="0"/>
              <w:autoSpaceDN w:val="0"/>
              <w:adjustRightInd w:val="0"/>
              <w:rPr>
                <w:rFonts w:ascii="Arial" w:hAnsi="Arial" w:cs="Arial"/>
              </w:rPr>
            </w:pPr>
          </w:p>
        </w:tc>
        <w:tc>
          <w:tcPr>
            <w:tcW w:w="8363" w:type="dxa"/>
          </w:tcPr>
          <w:p w:rsidR="006C6225" w:rsidRDefault="00D764CB" w:rsidP="00E873F9">
            <w:pPr>
              <w:jc w:val="both"/>
              <w:rPr>
                <w:rFonts w:ascii="Arial" w:hAnsi="Arial" w:cs="Arial"/>
              </w:rPr>
            </w:pPr>
            <w:r>
              <w:rPr>
                <w:rFonts w:ascii="Arial" w:hAnsi="Arial" w:cs="Arial"/>
                <w:szCs w:val="24"/>
              </w:rPr>
              <w:lastRenderedPageBreak/>
              <w:t>However t</w:t>
            </w:r>
            <w:r w:rsidR="00B136F8">
              <w:rPr>
                <w:rFonts w:ascii="Arial" w:hAnsi="Arial" w:cs="Arial"/>
                <w:szCs w:val="24"/>
              </w:rPr>
              <w:t xml:space="preserve">he median pay gap </w:t>
            </w:r>
            <w:r w:rsidR="00EE7F73">
              <w:rPr>
                <w:rFonts w:ascii="Arial" w:hAnsi="Arial" w:cs="Arial"/>
                <w:szCs w:val="24"/>
              </w:rPr>
              <w:t>reducing to 0%</w:t>
            </w:r>
            <w:r w:rsidR="006C6225">
              <w:rPr>
                <w:rFonts w:ascii="Arial" w:hAnsi="Arial" w:cs="Arial"/>
                <w:szCs w:val="24"/>
              </w:rPr>
              <w:t xml:space="preserve"> is </w:t>
            </w:r>
            <w:r w:rsidR="00EA4770">
              <w:rPr>
                <w:rFonts w:ascii="Arial" w:hAnsi="Arial" w:cs="Arial"/>
                <w:szCs w:val="24"/>
              </w:rPr>
              <w:t xml:space="preserve">primarily </w:t>
            </w:r>
            <w:r w:rsidR="006C6225">
              <w:rPr>
                <w:rFonts w:ascii="Arial" w:hAnsi="Arial" w:cs="Arial"/>
                <w:szCs w:val="24"/>
              </w:rPr>
              <w:t>du</w:t>
            </w:r>
            <w:r w:rsidR="00B136F8">
              <w:rPr>
                <w:rFonts w:ascii="Arial" w:hAnsi="Arial" w:cs="Arial"/>
                <w:szCs w:val="24"/>
              </w:rPr>
              <w:t xml:space="preserve">e </w:t>
            </w:r>
            <w:r w:rsidR="007D5628">
              <w:rPr>
                <w:rFonts w:ascii="Arial" w:hAnsi="Arial" w:cs="Arial"/>
                <w:szCs w:val="24"/>
              </w:rPr>
              <w:t>to the ne</w:t>
            </w:r>
            <w:r>
              <w:rPr>
                <w:rFonts w:ascii="Arial" w:hAnsi="Arial" w:cs="Arial"/>
                <w:szCs w:val="24"/>
              </w:rPr>
              <w:t xml:space="preserve">w posts </w:t>
            </w:r>
            <w:r w:rsidR="007D5628">
              <w:rPr>
                <w:rFonts w:ascii="Arial" w:hAnsi="Arial" w:cs="Arial"/>
                <w:szCs w:val="24"/>
              </w:rPr>
              <w:t xml:space="preserve">created with </w:t>
            </w:r>
            <w:r w:rsidR="00D83AD1">
              <w:rPr>
                <w:rFonts w:ascii="Arial" w:hAnsi="Arial" w:cs="Arial"/>
                <w:szCs w:val="24"/>
              </w:rPr>
              <w:t xml:space="preserve">the </w:t>
            </w:r>
            <w:r w:rsidR="007D5628">
              <w:rPr>
                <w:rFonts w:ascii="Arial" w:hAnsi="Arial" w:cs="Arial"/>
                <w:szCs w:val="24"/>
              </w:rPr>
              <w:t>transfer of music tuition</w:t>
            </w:r>
            <w:r w:rsidR="00EF42F5">
              <w:rPr>
                <w:rFonts w:ascii="Arial" w:hAnsi="Arial" w:cs="Arial"/>
                <w:szCs w:val="24"/>
              </w:rPr>
              <w:t xml:space="preserve"> (predominantly female)</w:t>
            </w:r>
            <w:r w:rsidR="007D5628">
              <w:rPr>
                <w:rFonts w:ascii="Arial" w:hAnsi="Arial" w:cs="Arial"/>
                <w:szCs w:val="24"/>
              </w:rPr>
              <w:t xml:space="preserve"> and an otherwise </w:t>
            </w:r>
            <w:r w:rsidR="00D005F7">
              <w:rPr>
                <w:rFonts w:ascii="Arial" w:hAnsi="Arial" w:cs="Arial"/>
                <w:szCs w:val="24"/>
              </w:rPr>
              <w:t>stable</w:t>
            </w:r>
            <w:r>
              <w:rPr>
                <w:rFonts w:ascii="Arial" w:hAnsi="Arial" w:cs="Arial"/>
                <w:szCs w:val="24"/>
              </w:rPr>
              <w:t xml:space="preserve"> staff turnover. </w:t>
            </w:r>
            <w:r w:rsidR="00582AFB">
              <w:rPr>
                <w:rFonts w:ascii="Arial" w:hAnsi="Arial" w:cs="Arial"/>
                <w:szCs w:val="24"/>
              </w:rPr>
              <w:t>So, a</w:t>
            </w:r>
            <w:r w:rsidR="006C6225" w:rsidRPr="006C6225">
              <w:rPr>
                <w:rFonts w:ascii="Arial" w:hAnsi="Arial" w:cs="Arial"/>
              </w:rPr>
              <w:t xml:space="preserve">lthough there </w:t>
            </w:r>
            <w:r w:rsidR="006C6225">
              <w:rPr>
                <w:rFonts w:ascii="Arial" w:hAnsi="Arial" w:cs="Arial"/>
              </w:rPr>
              <w:t>have been no</w:t>
            </w:r>
            <w:r w:rsidR="006C6225" w:rsidRPr="006C6225">
              <w:rPr>
                <w:rFonts w:ascii="Arial" w:hAnsi="Arial" w:cs="Arial"/>
              </w:rPr>
              <w:t xml:space="preserve"> significant changes to the ratio of males and females within the Charity </w:t>
            </w:r>
            <w:proofErr w:type="gramStart"/>
            <w:r w:rsidR="006C6225" w:rsidRPr="006C6225">
              <w:rPr>
                <w:rFonts w:ascii="Arial" w:hAnsi="Arial" w:cs="Arial"/>
              </w:rPr>
              <w:t>as a whole over</w:t>
            </w:r>
            <w:proofErr w:type="gramEnd"/>
            <w:r w:rsidR="006C6225" w:rsidRPr="006C6225">
              <w:rPr>
                <w:rFonts w:ascii="Arial" w:hAnsi="Arial" w:cs="Arial"/>
              </w:rPr>
              <w:t xml:space="preserve"> the past year, or within each of the quartiles, the median hourly pay rate has increased for </w:t>
            </w:r>
            <w:r>
              <w:rPr>
                <w:rFonts w:ascii="Arial" w:hAnsi="Arial" w:cs="Arial"/>
              </w:rPr>
              <w:t>females</w:t>
            </w:r>
            <w:r w:rsidR="006C6225" w:rsidRPr="006C6225">
              <w:rPr>
                <w:rFonts w:ascii="Arial" w:hAnsi="Arial" w:cs="Arial"/>
              </w:rPr>
              <w:t xml:space="preserve"> due to </w:t>
            </w:r>
            <w:r w:rsidR="007D5628">
              <w:rPr>
                <w:rFonts w:ascii="Arial" w:hAnsi="Arial" w:cs="Arial"/>
              </w:rPr>
              <w:t xml:space="preserve">the larger number of females to males transferring into HLH on higher grade posts. </w:t>
            </w:r>
          </w:p>
          <w:p w:rsidR="007D5628" w:rsidRDefault="007D5628" w:rsidP="00E873F9">
            <w:pPr>
              <w:jc w:val="both"/>
              <w:rPr>
                <w:rFonts w:ascii="Arial" w:hAnsi="Arial" w:cs="Arial"/>
              </w:rPr>
            </w:pPr>
          </w:p>
          <w:p w:rsidR="00B136F8" w:rsidRDefault="00582AFB" w:rsidP="00437EC4">
            <w:pPr>
              <w:jc w:val="both"/>
              <w:rPr>
                <w:rFonts w:ascii="Arial" w:hAnsi="Arial" w:cs="Arial"/>
              </w:rPr>
            </w:pPr>
            <w:r>
              <w:rPr>
                <w:rFonts w:ascii="Arial" w:hAnsi="Arial" w:cs="Arial"/>
              </w:rPr>
              <w:t>S</w:t>
            </w:r>
            <w:r w:rsidR="007D5628">
              <w:rPr>
                <w:rFonts w:ascii="Arial" w:hAnsi="Arial" w:cs="Arial"/>
              </w:rPr>
              <w:t xml:space="preserve">taff turnover </w:t>
            </w:r>
            <w:r w:rsidR="00D005F7">
              <w:rPr>
                <w:rFonts w:ascii="Arial" w:hAnsi="Arial" w:cs="Arial"/>
              </w:rPr>
              <w:t xml:space="preserve">is relatively stable </w:t>
            </w:r>
            <w:r w:rsidR="007D5628">
              <w:rPr>
                <w:rFonts w:ascii="Arial" w:hAnsi="Arial" w:cs="Arial"/>
              </w:rPr>
              <w:t>mean</w:t>
            </w:r>
            <w:r w:rsidR="00D005F7">
              <w:rPr>
                <w:rFonts w:ascii="Arial" w:hAnsi="Arial" w:cs="Arial"/>
              </w:rPr>
              <w:t>ing</w:t>
            </w:r>
            <w:r w:rsidR="007D5628">
              <w:rPr>
                <w:rFonts w:ascii="Arial" w:hAnsi="Arial" w:cs="Arial"/>
              </w:rPr>
              <w:t xml:space="preserve"> that </w:t>
            </w:r>
            <w:r w:rsidR="00987868">
              <w:rPr>
                <w:rFonts w:ascii="Arial" w:hAnsi="Arial" w:cs="Arial"/>
              </w:rPr>
              <w:t xml:space="preserve">as </w:t>
            </w:r>
            <w:r w:rsidR="007D5628">
              <w:rPr>
                <w:rFonts w:ascii="Arial" w:hAnsi="Arial" w:cs="Arial"/>
              </w:rPr>
              <w:t xml:space="preserve">staff </w:t>
            </w:r>
            <w:r w:rsidR="00EF42F5">
              <w:rPr>
                <w:rFonts w:ascii="Arial" w:hAnsi="Arial" w:cs="Arial"/>
              </w:rPr>
              <w:t>reach</w:t>
            </w:r>
            <w:r w:rsidR="007D5628">
              <w:rPr>
                <w:rFonts w:ascii="Arial" w:hAnsi="Arial" w:cs="Arial"/>
              </w:rPr>
              <w:t xml:space="preserve"> the top of their </w:t>
            </w:r>
            <w:r w:rsidR="00EF42F5">
              <w:rPr>
                <w:rFonts w:ascii="Arial" w:hAnsi="Arial" w:cs="Arial"/>
              </w:rPr>
              <w:t>salary scales and remain</w:t>
            </w:r>
            <w:r w:rsidR="007D5628">
              <w:rPr>
                <w:rFonts w:ascii="Arial" w:hAnsi="Arial" w:cs="Arial"/>
              </w:rPr>
              <w:t xml:space="preserve"> there</w:t>
            </w:r>
            <w:r>
              <w:rPr>
                <w:rFonts w:ascii="Arial" w:hAnsi="Arial" w:cs="Arial"/>
              </w:rPr>
              <w:t>,</w:t>
            </w:r>
            <w:r w:rsidR="00EF42F5">
              <w:rPr>
                <w:rFonts w:ascii="Arial" w:hAnsi="Arial" w:cs="Arial"/>
              </w:rPr>
              <w:t xml:space="preserve"> </w:t>
            </w:r>
            <w:r w:rsidR="007D5628">
              <w:rPr>
                <w:rFonts w:ascii="Arial" w:hAnsi="Arial" w:cs="Arial"/>
              </w:rPr>
              <w:t>no further movement upwards</w:t>
            </w:r>
            <w:r w:rsidR="00070D41">
              <w:rPr>
                <w:rFonts w:ascii="Arial" w:hAnsi="Arial" w:cs="Arial"/>
              </w:rPr>
              <w:t xml:space="preserve"> happens</w:t>
            </w:r>
            <w:r w:rsidR="007D5628">
              <w:rPr>
                <w:rFonts w:ascii="Arial" w:hAnsi="Arial" w:cs="Arial"/>
              </w:rPr>
              <w:t xml:space="preserve"> for </w:t>
            </w:r>
            <w:r w:rsidR="00EF42F5">
              <w:rPr>
                <w:rFonts w:ascii="Arial" w:hAnsi="Arial" w:cs="Arial"/>
              </w:rPr>
              <w:t>any</w:t>
            </w:r>
            <w:r w:rsidR="007D5628">
              <w:rPr>
                <w:rFonts w:ascii="Arial" w:hAnsi="Arial" w:cs="Arial"/>
              </w:rPr>
              <w:t xml:space="preserve"> gender.</w:t>
            </w:r>
            <w:r>
              <w:rPr>
                <w:rFonts w:ascii="Arial" w:hAnsi="Arial" w:cs="Arial"/>
              </w:rPr>
              <w:t xml:space="preserve">  Therefore, u</w:t>
            </w:r>
            <w:r w:rsidR="006C6225" w:rsidRPr="006C6225">
              <w:rPr>
                <w:rFonts w:ascii="Arial" w:hAnsi="Arial" w:cs="Arial"/>
              </w:rPr>
              <w:t xml:space="preserve">nless there is </w:t>
            </w:r>
            <w:r w:rsidR="00437EC4">
              <w:rPr>
                <w:rFonts w:ascii="Arial" w:hAnsi="Arial" w:cs="Arial"/>
              </w:rPr>
              <w:t xml:space="preserve">a significant </w:t>
            </w:r>
            <w:r w:rsidR="007D5628">
              <w:rPr>
                <w:rFonts w:ascii="Arial" w:hAnsi="Arial" w:cs="Arial"/>
              </w:rPr>
              <w:t xml:space="preserve">staff turnover </w:t>
            </w:r>
            <w:r w:rsidR="00437EC4">
              <w:rPr>
                <w:rFonts w:ascii="Arial" w:hAnsi="Arial" w:cs="Arial"/>
              </w:rPr>
              <w:t xml:space="preserve">within the next year it is anticipated that the median pay gap will remain relatively static. </w:t>
            </w:r>
          </w:p>
          <w:p w:rsidR="00437EC4" w:rsidRDefault="00437EC4" w:rsidP="00437EC4">
            <w:pPr>
              <w:jc w:val="both"/>
              <w:rPr>
                <w:rFonts w:ascii="Arial" w:hAnsi="Arial" w:cs="Arial"/>
                <w:szCs w:val="24"/>
              </w:rPr>
            </w:pPr>
          </w:p>
        </w:tc>
      </w:tr>
      <w:tr w:rsidR="00B25C9F" w:rsidRPr="00AB2E5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B25C9F" w:rsidRPr="00743F49" w:rsidRDefault="009C5475" w:rsidP="00F15675">
            <w:pPr>
              <w:autoSpaceDE w:val="0"/>
              <w:autoSpaceDN w:val="0"/>
              <w:adjustRightInd w:val="0"/>
              <w:rPr>
                <w:rFonts w:ascii="Arial" w:hAnsi="Arial" w:cs="Arial"/>
              </w:rPr>
            </w:pPr>
            <w:r>
              <w:rPr>
                <w:rFonts w:ascii="Arial" w:hAnsi="Arial" w:cs="Arial"/>
              </w:rPr>
              <w:lastRenderedPageBreak/>
              <w:t>3.</w:t>
            </w:r>
            <w:r w:rsidR="00582AFB">
              <w:rPr>
                <w:rFonts w:ascii="Arial" w:hAnsi="Arial" w:cs="Arial"/>
              </w:rPr>
              <w:t>7</w:t>
            </w:r>
          </w:p>
        </w:tc>
        <w:tc>
          <w:tcPr>
            <w:tcW w:w="8363" w:type="dxa"/>
          </w:tcPr>
          <w:p w:rsidR="00B25C9F" w:rsidRDefault="00582AFB" w:rsidP="009C5475">
            <w:pPr>
              <w:widowControl w:val="0"/>
              <w:tabs>
                <w:tab w:val="left" w:pos="1134"/>
              </w:tabs>
              <w:suppressAutoHyphens/>
              <w:snapToGrid w:val="0"/>
              <w:jc w:val="both"/>
              <w:rPr>
                <w:rFonts w:ascii="Arial" w:hAnsi="Arial" w:cs="Arial"/>
                <w:szCs w:val="24"/>
              </w:rPr>
            </w:pPr>
            <w:r>
              <w:rPr>
                <w:rFonts w:ascii="Arial" w:hAnsi="Arial" w:cs="Arial"/>
                <w:szCs w:val="24"/>
              </w:rPr>
              <w:t xml:space="preserve">Following last year’s submission, the Charity reviewed and updated the promotion of </w:t>
            </w:r>
            <w:r w:rsidR="007E7012" w:rsidRPr="009C5475">
              <w:rPr>
                <w:rFonts w:ascii="Arial" w:hAnsi="Arial" w:cs="Arial"/>
                <w:szCs w:val="24"/>
              </w:rPr>
              <w:t>High Life Highland’s family friendly working policy when advertising post</w:t>
            </w:r>
            <w:r w:rsidR="009C5475" w:rsidRPr="009C5475">
              <w:rPr>
                <w:rFonts w:ascii="Arial" w:hAnsi="Arial" w:cs="Arial"/>
                <w:szCs w:val="24"/>
              </w:rPr>
              <w:t>s</w:t>
            </w:r>
            <w:r>
              <w:rPr>
                <w:rFonts w:ascii="Arial" w:hAnsi="Arial" w:cs="Arial"/>
                <w:szCs w:val="24"/>
              </w:rPr>
              <w:t xml:space="preserve"> </w:t>
            </w:r>
            <w:proofErr w:type="gramStart"/>
            <w:r>
              <w:rPr>
                <w:rFonts w:ascii="Arial" w:hAnsi="Arial" w:cs="Arial"/>
                <w:szCs w:val="24"/>
              </w:rPr>
              <w:t>in</w:t>
            </w:r>
            <w:r w:rsidR="00070D41">
              <w:rPr>
                <w:rFonts w:ascii="Arial" w:hAnsi="Arial" w:cs="Arial"/>
                <w:szCs w:val="24"/>
              </w:rPr>
              <w:t xml:space="preserve"> </w:t>
            </w:r>
            <w:r>
              <w:rPr>
                <w:rFonts w:ascii="Arial" w:hAnsi="Arial" w:cs="Arial"/>
                <w:szCs w:val="24"/>
              </w:rPr>
              <w:t>order to</w:t>
            </w:r>
            <w:proofErr w:type="gramEnd"/>
            <w:r>
              <w:rPr>
                <w:rFonts w:ascii="Arial" w:hAnsi="Arial" w:cs="Arial"/>
                <w:szCs w:val="24"/>
              </w:rPr>
              <w:t xml:space="preserve"> ensure post appeal to the currently underrepresented groups.</w:t>
            </w:r>
            <w:r w:rsidR="009C5475">
              <w:rPr>
                <w:rFonts w:ascii="Arial" w:hAnsi="Arial" w:cs="Arial"/>
                <w:szCs w:val="24"/>
              </w:rPr>
              <w:t xml:space="preserve"> </w:t>
            </w:r>
          </w:p>
          <w:p w:rsidR="00EF42F5" w:rsidRPr="009C5475" w:rsidRDefault="00EF42F5" w:rsidP="009C5475">
            <w:pPr>
              <w:widowControl w:val="0"/>
              <w:tabs>
                <w:tab w:val="left" w:pos="1134"/>
              </w:tabs>
              <w:suppressAutoHyphens/>
              <w:snapToGrid w:val="0"/>
              <w:jc w:val="both"/>
              <w:rPr>
                <w:rFonts w:ascii="Arial" w:hAnsi="Arial" w:cs="Arial"/>
              </w:rPr>
            </w:pPr>
          </w:p>
        </w:tc>
      </w:tr>
      <w:tr w:rsidR="00B25C9F" w:rsidRPr="00BE0678"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B25C9F" w:rsidRPr="00BE0678" w:rsidRDefault="00B25C9F" w:rsidP="00FB00D0">
            <w:pPr>
              <w:autoSpaceDE w:val="0"/>
              <w:autoSpaceDN w:val="0"/>
              <w:adjustRightInd w:val="0"/>
              <w:rPr>
                <w:rFonts w:ascii="Arial" w:hAnsi="Arial" w:cs="Arial"/>
                <w:b/>
              </w:rPr>
            </w:pPr>
            <w:r>
              <w:rPr>
                <w:rFonts w:ascii="Arial" w:hAnsi="Arial" w:cs="Arial"/>
                <w:b/>
              </w:rPr>
              <w:t>4.</w:t>
            </w:r>
          </w:p>
        </w:tc>
        <w:tc>
          <w:tcPr>
            <w:tcW w:w="8363" w:type="dxa"/>
          </w:tcPr>
          <w:p w:rsidR="00B25C9F" w:rsidRDefault="00B25C9F" w:rsidP="00743F49">
            <w:pPr>
              <w:autoSpaceDE w:val="0"/>
              <w:autoSpaceDN w:val="0"/>
              <w:adjustRightInd w:val="0"/>
              <w:jc w:val="both"/>
              <w:rPr>
                <w:rFonts w:ascii="Arial" w:hAnsi="Arial" w:cs="Arial"/>
                <w:b/>
              </w:rPr>
            </w:pPr>
            <w:r>
              <w:rPr>
                <w:rFonts w:ascii="Arial" w:hAnsi="Arial" w:cs="Arial"/>
                <w:b/>
              </w:rPr>
              <w:t>Risk Implications</w:t>
            </w:r>
          </w:p>
          <w:p w:rsidR="00B25C9F" w:rsidRPr="00BE0678" w:rsidRDefault="00B25C9F" w:rsidP="00743F49">
            <w:pPr>
              <w:autoSpaceDE w:val="0"/>
              <w:autoSpaceDN w:val="0"/>
              <w:adjustRightInd w:val="0"/>
              <w:jc w:val="both"/>
              <w:rPr>
                <w:rFonts w:ascii="Arial" w:hAnsi="Arial" w:cs="Arial"/>
                <w:b/>
              </w:rPr>
            </w:pPr>
          </w:p>
        </w:tc>
      </w:tr>
      <w:tr w:rsidR="00B25C9F" w:rsidRPr="00244D9F"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B25C9F" w:rsidRPr="00244D9F" w:rsidRDefault="00B25C9F" w:rsidP="00FB00D0">
            <w:pPr>
              <w:autoSpaceDE w:val="0"/>
              <w:autoSpaceDN w:val="0"/>
              <w:adjustRightInd w:val="0"/>
              <w:rPr>
                <w:rFonts w:ascii="Arial" w:hAnsi="Arial" w:cs="Arial"/>
              </w:rPr>
            </w:pPr>
            <w:r w:rsidRPr="00244D9F">
              <w:rPr>
                <w:rFonts w:ascii="Arial" w:hAnsi="Arial" w:cs="Arial"/>
              </w:rPr>
              <w:t>4.1</w:t>
            </w:r>
          </w:p>
        </w:tc>
        <w:tc>
          <w:tcPr>
            <w:tcW w:w="8363" w:type="dxa"/>
          </w:tcPr>
          <w:p w:rsidR="00B25C9F" w:rsidRPr="00244D9F" w:rsidRDefault="00B25C9F" w:rsidP="00741805">
            <w:pPr>
              <w:jc w:val="both"/>
              <w:rPr>
                <w:rFonts w:ascii="Arial" w:hAnsi="Arial" w:cs="Arial"/>
                <w:b/>
                <w:color w:val="000000" w:themeColor="text1"/>
              </w:rPr>
            </w:pPr>
            <w:r w:rsidRPr="00741805">
              <w:rPr>
                <w:rFonts w:ascii="Arial" w:hAnsi="Arial" w:cs="Arial"/>
                <w:color w:val="000000" w:themeColor="text1"/>
              </w:rPr>
              <w:t xml:space="preserve">Resource Implications </w:t>
            </w:r>
            <w:r w:rsidRPr="00244D9F">
              <w:rPr>
                <w:rFonts w:ascii="Arial" w:hAnsi="Arial" w:cs="Arial"/>
                <w:b/>
                <w:color w:val="000000" w:themeColor="text1"/>
              </w:rPr>
              <w:t xml:space="preserve">– </w:t>
            </w:r>
            <w:r w:rsidRPr="00741805">
              <w:rPr>
                <w:rFonts w:ascii="Arial" w:hAnsi="Arial" w:cs="Arial"/>
                <w:color w:val="000000" w:themeColor="text1"/>
              </w:rPr>
              <w:t>there are no new resource implications associated with the recommendations of this report.</w:t>
            </w:r>
          </w:p>
          <w:p w:rsidR="00B25C9F" w:rsidRPr="00244D9F" w:rsidRDefault="00B25C9F" w:rsidP="00741805">
            <w:pPr>
              <w:autoSpaceDE w:val="0"/>
              <w:autoSpaceDN w:val="0"/>
              <w:adjustRightInd w:val="0"/>
              <w:jc w:val="both"/>
              <w:rPr>
                <w:rFonts w:ascii="Arial" w:hAnsi="Arial" w:cs="Arial"/>
                <w:b/>
              </w:rPr>
            </w:pPr>
          </w:p>
        </w:tc>
      </w:tr>
      <w:tr w:rsidR="00B25C9F"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B25C9F" w:rsidRPr="00743F49" w:rsidRDefault="00B25C9F" w:rsidP="00FB00D0">
            <w:pPr>
              <w:autoSpaceDE w:val="0"/>
              <w:autoSpaceDN w:val="0"/>
              <w:adjustRightInd w:val="0"/>
              <w:rPr>
                <w:rFonts w:ascii="Arial" w:hAnsi="Arial" w:cs="Arial"/>
              </w:rPr>
            </w:pPr>
            <w:r w:rsidRPr="00743F49">
              <w:rPr>
                <w:rFonts w:ascii="Arial" w:hAnsi="Arial" w:cs="Arial"/>
              </w:rPr>
              <w:t>4.2</w:t>
            </w:r>
          </w:p>
        </w:tc>
        <w:tc>
          <w:tcPr>
            <w:tcW w:w="8363" w:type="dxa"/>
          </w:tcPr>
          <w:p w:rsidR="00B25C9F" w:rsidRDefault="00B25C9F" w:rsidP="00741805">
            <w:pPr>
              <w:jc w:val="both"/>
              <w:rPr>
                <w:rFonts w:ascii="Arial" w:hAnsi="Arial" w:cs="Arial"/>
                <w:color w:val="000000" w:themeColor="text1"/>
              </w:rPr>
            </w:pPr>
            <w:r w:rsidRPr="00C95409">
              <w:rPr>
                <w:rFonts w:ascii="Arial" w:hAnsi="Arial" w:cs="Arial"/>
                <w:color w:val="000000" w:themeColor="text1"/>
              </w:rPr>
              <w:t>Legal Implications –</w:t>
            </w:r>
            <w:r>
              <w:rPr>
                <w:rFonts w:ascii="Arial" w:hAnsi="Arial" w:cs="Arial"/>
                <w:color w:val="000000" w:themeColor="text1"/>
              </w:rPr>
              <w:t xml:space="preserve"> there are no new legal implications associated with the recommendations of this report.</w:t>
            </w:r>
          </w:p>
          <w:p w:rsidR="00B25C9F" w:rsidRPr="00AB2E5F" w:rsidRDefault="00B25C9F" w:rsidP="00741805">
            <w:pPr>
              <w:autoSpaceDE w:val="0"/>
              <w:autoSpaceDN w:val="0"/>
              <w:adjustRightInd w:val="0"/>
              <w:jc w:val="both"/>
              <w:rPr>
                <w:rFonts w:ascii="Arial" w:hAnsi="Arial" w:cs="Arial"/>
                <w:b/>
              </w:rPr>
            </w:pPr>
          </w:p>
        </w:tc>
      </w:tr>
      <w:tr w:rsidR="00B25C9F"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B25C9F" w:rsidRPr="00743F49" w:rsidRDefault="00B25C9F" w:rsidP="00FB00D0">
            <w:pPr>
              <w:autoSpaceDE w:val="0"/>
              <w:autoSpaceDN w:val="0"/>
              <w:adjustRightInd w:val="0"/>
              <w:rPr>
                <w:rFonts w:ascii="Arial" w:hAnsi="Arial" w:cs="Arial"/>
              </w:rPr>
            </w:pPr>
            <w:r w:rsidRPr="00743F49">
              <w:rPr>
                <w:rFonts w:ascii="Arial" w:hAnsi="Arial" w:cs="Arial"/>
              </w:rPr>
              <w:t>4.3</w:t>
            </w:r>
          </w:p>
        </w:tc>
        <w:tc>
          <w:tcPr>
            <w:tcW w:w="8363" w:type="dxa"/>
          </w:tcPr>
          <w:p w:rsidR="00B25C9F" w:rsidRPr="00C95409" w:rsidRDefault="00B25C9F" w:rsidP="00741805">
            <w:pPr>
              <w:jc w:val="both"/>
              <w:rPr>
                <w:rFonts w:ascii="Arial" w:hAnsi="Arial" w:cs="Arial"/>
                <w:color w:val="000000" w:themeColor="text1"/>
              </w:rPr>
            </w:pPr>
            <w:r w:rsidRPr="00C95409">
              <w:rPr>
                <w:rFonts w:ascii="Arial" w:hAnsi="Arial" w:cs="Arial"/>
                <w:color w:val="000000" w:themeColor="text1"/>
              </w:rPr>
              <w:t xml:space="preserve">Risk Implications – </w:t>
            </w:r>
            <w:r>
              <w:rPr>
                <w:rFonts w:ascii="Arial" w:hAnsi="Arial" w:cs="Arial"/>
                <w:color w:val="000000" w:themeColor="text1"/>
              </w:rPr>
              <w:t>there are no new risk implications associated with the recommendations of this report.</w:t>
            </w:r>
          </w:p>
          <w:p w:rsidR="00B25C9F" w:rsidRPr="00437582" w:rsidRDefault="00B25C9F" w:rsidP="00741805">
            <w:pPr>
              <w:autoSpaceDE w:val="0"/>
              <w:autoSpaceDN w:val="0"/>
              <w:adjustRightInd w:val="0"/>
              <w:jc w:val="both"/>
              <w:rPr>
                <w:rFonts w:ascii="Arial" w:hAnsi="Arial" w:cs="Arial"/>
              </w:rPr>
            </w:pPr>
          </w:p>
        </w:tc>
      </w:tr>
      <w:tr w:rsidR="001430EA" w:rsidRPr="007214D1" w:rsidTr="00B136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851" w:type="dxa"/>
          </w:tcPr>
          <w:p w:rsidR="001430EA" w:rsidRPr="00743F49" w:rsidRDefault="001430EA" w:rsidP="00FB00D0">
            <w:pPr>
              <w:autoSpaceDE w:val="0"/>
              <w:autoSpaceDN w:val="0"/>
              <w:adjustRightInd w:val="0"/>
              <w:rPr>
                <w:rFonts w:ascii="Arial" w:hAnsi="Arial" w:cs="Arial"/>
              </w:rPr>
            </w:pPr>
            <w:r>
              <w:rPr>
                <w:rFonts w:ascii="Arial" w:hAnsi="Arial" w:cs="Arial"/>
              </w:rPr>
              <w:t>4.4</w:t>
            </w:r>
          </w:p>
        </w:tc>
        <w:tc>
          <w:tcPr>
            <w:tcW w:w="8363" w:type="dxa"/>
          </w:tcPr>
          <w:p w:rsidR="001430EA" w:rsidRDefault="001430EA" w:rsidP="00741805">
            <w:pPr>
              <w:jc w:val="both"/>
              <w:rPr>
                <w:rFonts w:ascii="Arial" w:hAnsi="Arial" w:cs="Arial"/>
                <w:color w:val="000000" w:themeColor="text1"/>
              </w:rPr>
            </w:pPr>
            <w:r>
              <w:rPr>
                <w:rFonts w:ascii="Arial" w:hAnsi="Arial" w:cs="Arial"/>
                <w:color w:val="000000" w:themeColor="text1"/>
              </w:rPr>
              <w:t>Equality Implications – there are no new equality implications associated with the recommendations of this report.</w:t>
            </w:r>
          </w:p>
          <w:p w:rsidR="001430EA" w:rsidRPr="00C95409" w:rsidRDefault="001430EA" w:rsidP="00741805">
            <w:pPr>
              <w:jc w:val="both"/>
              <w:rPr>
                <w:rFonts w:ascii="Arial" w:hAnsi="Arial" w:cs="Arial"/>
                <w:color w:val="000000" w:themeColor="text1"/>
              </w:rPr>
            </w:pPr>
          </w:p>
        </w:tc>
      </w:tr>
      <w:tr w:rsidR="00B25C9F" w:rsidRPr="007214D1" w:rsidTr="00743F49">
        <w:trPr>
          <w:gridBefore w:val="1"/>
          <w:wBefore w:w="108" w:type="dxa"/>
          <w:cantSplit/>
        </w:trPr>
        <w:tc>
          <w:tcPr>
            <w:tcW w:w="9214" w:type="dxa"/>
            <w:gridSpan w:val="2"/>
          </w:tcPr>
          <w:p w:rsidR="00B25C9F" w:rsidRPr="00A01E5D" w:rsidRDefault="00B25C9F" w:rsidP="00D9403E">
            <w:pPr>
              <w:ind w:right="-392"/>
              <w:jc w:val="both"/>
              <w:rPr>
                <w:rFonts w:ascii="Arial" w:hAnsi="Arial" w:cs="Arial"/>
                <w:b/>
                <w:szCs w:val="24"/>
              </w:rPr>
            </w:pPr>
            <w:r w:rsidRPr="00A01E5D">
              <w:rPr>
                <w:rFonts w:ascii="Arial" w:hAnsi="Arial" w:cs="Arial"/>
                <w:b/>
                <w:szCs w:val="24"/>
              </w:rPr>
              <w:t>Recommendation</w:t>
            </w:r>
          </w:p>
          <w:p w:rsidR="00B25C9F" w:rsidRDefault="00B25C9F" w:rsidP="00D9403E">
            <w:pPr>
              <w:ind w:right="-392"/>
              <w:jc w:val="both"/>
              <w:rPr>
                <w:rFonts w:ascii="Arial" w:hAnsi="Arial" w:cs="Arial"/>
                <w:szCs w:val="24"/>
              </w:rPr>
            </w:pPr>
          </w:p>
          <w:p w:rsidR="005B1FBD" w:rsidRDefault="005B1FBD" w:rsidP="005B1FBD">
            <w:pPr>
              <w:jc w:val="both"/>
              <w:rPr>
                <w:rFonts w:ascii="Arial" w:hAnsi="Arial" w:cs="Arial"/>
              </w:rPr>
            </w:pPr>
            <w:r w:rsidRPr="00CC3428">
              <w:rPr>
                <w:rFonts w:ascii="Arial" w:hAnsi="Arial" w:cs="Arial"/>
              </w:rPr>
              <w:t xml:space="preserve">It is recommended that </w:t>
            </w:r>
            <w:r>
              <w:rPr>
                <w:rFonts w:ascii="Arial" w:hAnsi="Arial" w:cs="Arial"/>
              </w:rPr>
              <w:t>Directors:</w:t>
            </w:r>
          </w:p>
          <w:p w:rsidR="005B1FBD" w:rsidRDefault="005B1FBD" w:rsidP="005B1FBD">
            <w:pPr>
              <w:jc w:val="both"/>
              <w:rPr>
                <w:rFonts w:ascii="Arial" w:hAnsi="Arial" w:cs="Arial"/>
              </w:rPr>
            </w:pPr>
          </w:p>
          <w:p w:rsidR="00B25C9F" w:rsidRPr="005B1FBD" w:rsidRDefault="005B1FBD" w:rsidP="00743F49">
            <w:pPr>
              <w:pStyle w:val="ListParagraph"/>
              <w:numPr>
                <w:ilvl w:val="0"/>
                <w:numId w:val="8"/>
              </w:numPr>
              <w:jc w:val="both"/>
              <w:rPr>
                <w:rFonts w:ascii="Arial" w:hAnsi="Arial" w:cs="Arial"/>
              </w:rPr>
            </w:pPr>
            <w:bookmarkStart w:id="0" w:name="_Hlk16690626"/>
            <w:bookmarkStart w:id="1" w:name="_GoBack"/>
            <w:r w:rsidRPr="005B1FBD">
              <w:rPr>
                <w:rFonts w:ascii="Arial" w:hAnsi="Arial" w:cs="Arial"/>
              </w:rPr>
              <w:t xml:space="preserve">comment on and note the draft Gender Pay Gap Report in </w:t>
            </w:r>
            <w:r w:rsidRPr="005B1FBD">
              <w:rPr>
                <w:rFonts w:ascii="Arial" w:hAnsi="Arial" w:cs="Arial"/>
                <w:b/>
              </w:rPr>
              <w:t xml:space="preserve">Appendix </w:t>
            </w:r>
            <w:r w:rsidRPr="005B1FBD">
              <w:rPr>
                <w:rFonts w:ascii="Arial" w:hAnsi="Arial" w:cs="Arial"/>
                <w:szCs w:val="24"/>
              </w:rPr>
              <w:t>and approve its submission to the UK Government and publication on the HLH website</w:t>
            </w:r>
            <w:r w:rsidRPr="005B1FBD">
              <w:rPr>
                <w:rFonts w:ascii="Arial" w:hAnsi="Arial" w:cs="Arial"/>
              </w:rPr>
              <w:t xml:space="preserve">. </w:t>
            </w:r>
          </w:p>
          <w:bookmarkEnd w:id="0"/>
          <w:bookmarkEnd w:id="1"/>
          <w:p w:rsidR="00B25C9F" w:rsidRPr="007214D1" w:rsidRDefault="00B25C9F" w:rsidP="005B1FBD">
            <w:pPr>
              <w:pStyle w:val="ListParagraph"/>
              <w:jc w:val="both"/>
              <w:rPr>
                <w:rFonts w:ascii="Arial" w:hAnsi="Arial" w:cs="Arial"/>
                <w:szCs w:val="24"/>
              </w:rPr>
            </w:pPr>
          </w:p>
        </w:tc>
      </w:tr>
    </w:tbl>
    <w:p w:rsidR="008E077F" w:rsidRDefault="008E077F" w:rsidP="00250F92">
      <w:pPr>
        <w:tabs>
          <w:tab w:val="left" w:pos="1843"/>
        </w:tabs>
        <w:rPr>
          <w:rFonts w:ascii="Arial" w:hAnsi="Arial" w:cs="Arial"/>
          <w:szCs w:val="24"/>
        </w:rPr>
      </w:pPr>
    </w:p>
    <w:p w:rsidR="0039450A" w:rsidRPr="007214D1" w:rsidRDefault="0039450A" w:rsidP="00250F92">
      <w:pPr>
        <w:tabs>
          <w:tab w:val="left" w:pos="1843"/>
        </w:tabs>
        <w:rPr>
          <w:rFonts w:ascii="Arial" w:hAnsi="Arial" w:cs="Arial"/>
          <w:szCs w:val="24"/>
        </w:rPr>
      </w:pPr>
    </w:p>
    <w:p w:rsidR="0039450A" w:rsidRPr="007214D1" w:rsidRDefault="0039450A" w:rsidP="00250F92">
      <w:pPr>
        <w:tabs>
          <w:tab w:val="left" w:pos="1843"/>
        </w:tabs>
        <w:rPr>
          <w:rFonts w:ascii="Arial" w:hAnsi="Arial" w:cs="Arial"/>
          <w:szCs w:val="24"/>
        </w:rPr>
      </w:pPr>
      <w:r w:rsidRPr="007214D1">
        <w:rPr>
          <w:rFonts w:ascii="Arial" w:hAnsi="Arial" w:cs="Arial"/>
          <w:szCs w:val="24"/>
        </w:rPr>
        <w:t>Designation:</w:t>
      </w:r>
      <w:r w:rsidR="008B770E">
        <w:rPr>
          <w:rFonts w:ascii="Arial" w:hAnsi="Arial" w:cs="Arial"/>
          <w:szCs w:val="24"/>
        </w:rPr>
        <w:tab/>
      </w:r>
      <w:r w:rsidR="0036440C">
        <w:rPr>
          <w:rFonts w:ascii="Arial" w:hAnsi="Arial" w:cs="Arial"/>
          <w:szCs w:val="24"/>
        </w:rPr>
        <w:t>Chief Executive</w:t>
      </w:r>
    </w:p>
    <w:p w:rsidR="0039450A" w:rsidRPr="007214D1" w:rsidRDefault="0039450A" w:rsidP="00250F92">
      <w:pPr>
        <w:tabs>
          <w:tab w:val="left" w:pos="1843"/>
        </w:tabs>
        <w:rPr>
          <w:rFonts w:ascii="Arial" w:hAnsi="Arial" w:cs="Arial"/>
          <w:szCs w:val="24"/>
        </w:rPr>
      </w:pPr>
    </w:p>
    <w:p w:rsidR="00F011CD" w:rsidRDefault="00513508" w:rsidP="00DA0419">
      <w:pPr>
        <w:tabs>
          <w:tab w:val="left" w:pos="1843"/>
        </w:tabs>
        <w:rPr>
          <w:rFonts w:ascii="Arial" w:hAnsi="Arial" w:cs="Arial"/>
          <w:szCs w:val="24"/>
        </w:rPr>
      </w:pPr>
      <w:r>
        <w:rPr>
          <w:rFonts w:ascii="Arial" w:hAnsi="Arial" w:cs="Arial"/>
          <w:szCs w:val="24"/>
        </w:rPr>
        <w:t>Date:</w:t>
      </w:r>
      <w:r>
        <w:rPr>
          <w:rFonts w:ascii="Arial" w:hAnsi="Arial" w:cs="Arial"/>
          <w:szCs w:val="24"/>
        </w:rPr>
        <w:tab/>
      </w:r>
      <w:r w:rsidR="00631A61">
        <w:rPr>
          <w:rFonts w:ascii="Arial" w:hAnsi="Arial" w:cs="Arial"/>
          <w:szCs w:val="24"/>
        </w:rPr>
        <w:t>9</w:t>
      </w:r>
      <w:r w:rsidR="005B1FBD">
        <w:rPr>
          <w:rFonts w:ascii="Arial" w:hAnsi="Arial" w:cs="Arial"/>
          <w:szCs w:val="24"/>
        </w:rPr>
        <w:t xml:space="preserve"> August</w:t>
      </w:r>
      <w:r w:rsidR="00133583">
        <w:rPr>
          <w:rFonts w:ascii="Arial" w:hAnsi="Arial" w:cs="Arial"/>
          <w:szCs w:val="24"/>
        </w:rPr>
        <w:t xml:space="preserve"> 201</w:t>
      </w:r>
      <w:r w:rsidR="00D83AD1">
        <w:rPr>
          <w:rFonts w:ascii="Arial" w:hAnsi="Arial" w:cs="Arial"/>
          <w:szCs w:val="24"/>
        </w:rPr>
        <w:t>9</w:t>
      </w:r>
    </w:p>
    <w:p w:rsidR="00F011CD" w:rsidRDefault="00F011CD">
      <w:pPr>
        <w:rPr>
          <w:rFonts w:ascii="Arial" w:hAnsi="Arial" w:cs="Arial"/>
          <w:szCs w:val="24"/>
        </w:rPr>
      </w:pPr>
      <w:r>
        <w:rPr>
          <w:rFonts w:ascii="Arial" w:hAnsi="Arial" w:cs="Arial"/>
          <w:szCs w:val="24"/>
        </w:rPr>
        <w:br w:type="page"/>
      </w:r>
    </w:p>
    <w:p w:rsidR="00A65BBE" w:rsidRPr="00A65BBE" w:rsidRDefault="00A65BBE" w:rsidP="00A65BBE">
      <w:pPr>
        <w:jc w:val="right"/>
        <w:rPr>
          <w:rFonts w:ascii="Arial" w:hAnsi="Arial" w:cs="Arial"/>
          <w:b/>
          <w:szCs w:val="24"/>
        </w:rPr>
      </w:pPr>
      <w:r w:rsidRPr="00A65BBE">
        <w:rPr>
          <w:rFonts w:ascii="Arial" w:hAnsi="Arial" w:cs="Arial"/>
          <w:b/>
          <w:szCs w:val="24"/>
        </w:rPr>
        <w:lastRenderedPageBreak/>
        <w:t>Appendix A</w:t>
      </w:r>
    </w:p>
    <w:p w:rsidR="00A4552E" w:rsidRPr="00A4552E" w:rsidRDefault="00A4552E" w:rsidP="00A4552E">
      <w:pPr>
        <w:spacing w:after="200" w:line="276" w:lineRule="auto"/>
        <w:rPr>
          <w:rFonts w:ascii="Arial" w:eastAsiaTheme="minorHAnsi" w:hAnsi="Arial" w:cs="Arial"/>
          <w:b/>
          <w:szCs w:val="24"/>
          <w:lang w:eastAsia="en-US"/>
        </w:rPr>
      </w:pPr>
      <w:r w:rsidRPr="00A4552E">
        <w:rPr>
          <w:rFonts w:ascii="Arial" w:eastAsiaTheme="minorHAnsi" w:hAnsi="Arial" w:cs="Arial"/>
          <w:b/>
          <w:szCs w:val="24"/>
          <w:lang w:eastAsia="en-US"/>
        </w:rPr>
        <w:t>High Life Highland 201</w:t>
      </w:r>
      <w:r w:rsidR="00D83AD1">
        <w:rPr>
          <w:rFonts w:ascii="Arial" w:eastAsiaTheme="minorHAnsi" w:hAnsi="Arial" w:cs="Arial"/>
          <w:b/>
          <w:szCs w:val="24"/>
          <w:lang w:eastAsia="en-US"/>
        </w:rPr>
        <w:t>9</w:t>
      </w:r>
      <w:r w:rsidRPr="00A4552E">
        <w:rPr>
          <w:rFonts w:ascii="Arial" w:eastAsiaTheme="minorHAnsi" w:hAnsi="Arial" w:cs="Arial"/>
          <w:b/>
          <w:szCs w:val="24"/>
          <w:lang w:eastAsia="en-US"/>
        </w:rPr>
        <w:t xml:space="preserve"> Gender Pay Gap Report</w:t>
      </w:r>
    </w:p>
    <w:p w:rsidR="00A4552E" w:rsidRPr="00A4552E" w:rsidRDefault="00A4552E" w:rsidP="00E02F69">
      <w:pPr>
        <w:spacing w:after="200" w:line="276" w:lineRule="auto"/>
        <w:jc w:val="both"/>
        <w:rPr>
          <w:rFonts w:ascii="Arial" w:eastAsiaTheme="minorHAnsi" w:hAnsi="Arial" w:cs="Arial"/>
          <w:b/>
          <w:szCs w:val="24"/>
          <w:lang w:eastAsia="en-US"/>
        </w:rPr>
      </w:pPr>
      <w:r w:rsidRPr="00A4552E">
        <w:rPr>
          <w:rFonts w:ascii="Arial" w:eastAsiaTheme="minorHAnsi" w:hAnsi="Arial" w:cs="Arial"/>
          <w:szCs w:val="24"/>
          <w:lang w:eastAsia="en-US"/>
        </w:rPr>
        <w:t xml:space="preserve">High Life Highland is a charity registered in Scotland, formed on the 1st October 2011 by The Highland Council to develop and promote opportunities in culture, learning, sport, leisure, health and wellbeing across </w:t>
      </w:r>
      <w:r w:rsidR="00D87459">
        <w:rPr>
          <w:rFonts w:ascii="Arial" w:eastAsiaTheme="minorHAnsi" w:hAnsi="Arial" w:cs="Arial"/>
          <w:szCs w:val="24"/>
          <w:lang w:eastAsia="en-US"/>
        </w:rPr>
        <w:t>10</w:t>
      </w:r>
      <w:r w:rsidRPr="00A4552E">
        <w:rPr>
          <w:rFonts w:ascii="Arial" w:eastAsiaTheme="minorHAnsi" w:hAnsi="Arial" w:cs="Arial"/>
          <w:szCs w:val="24"/>
          <w:lang w:eastAsia="en-US"/>
        </w:rPr>
        <w:t xml:space="preserve"> services throughout the whole of the Highlands, for both residents and visitors.</w:t>
      </w:r>
    </w:p>
    <w:p w:rsidR="00A4552E" w:rsidRPr="00A4552E" w:rsidRDefault="00A4552E" w:rsidP="00E02F69">
      <w:pPr>
        <w:autoSpaceDE w:val="0"/>
        <w:autoSpaceDN w:val="0"/>
        <w:adjustRightInd w:val="0"/>
        <w:spacing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The Gender Pay Gap data supplied is correct for all employees in post with High Life Highland on 31 March 201</w:t>
      </w:r>
      <w:r w:rsidR="00D83AD1">
        <w:rPr>
          <w:rFonts w:ascii="Arial" w:eastAsiaTheme="minorHAnsi" w:hAnsi="Arial" w:cs="Arial"/>
          <w:szCs w:val="24"/>
          <w:lang w:eastAsia="en-US"/>
        </w:rPr>
        <w:t>9</w:t>
      </w:r>
      <w:r w:rsidRPr="00A4552E">
        <w:rPr>
          <w:rFonts w:ascii="Arial" w:eastAsiaTheme="minorHAnsi" w:hAnsi="Arial" w:cs="Arial"/>
          <w:szCs w:val="24"/>
          <w:lang w:eastAsia="en-US"/>
        </w:rPr>
        <w:t xml:space="preserve">. </w:t>
      </w:r>
    </w:p>
    <w:p w:rsidR="00A4552E" w:rsidRPr="00A4552E" w:rsidRDefault="00A4552E" w:rsidP="00E02F69">
      <w:pPr>
        <w:autoSpaceDE w:val="0"/>
        <w:autoSpaceDN w:val="0"/>
        <w:adjustRightInd w:val="0"/>
        <w:spacing w:line="276" w:lineRule="auto"/>
        <w:jc w:val="both"/>
        <w:rPr>
          <w:rFonts w:ascii="Arial" w:eastAsiaTheme="minorHAnsi" w:hAnsi="Arial" w:cs="Arial"/>
          <w:szCs w:val="24"/>
          <w:lang w:eastAsia="en-US"/>
        </w:rPr>
      </w:pPr>
    </w:p>
    <w:p w:rsidR="00A4552E" w:rsidRPr="00A4552E" w:rsidRDefault="00A4552E" w:rsidP="00E02F69">
      <w:pPr>
        <w:autoSpaceDE w:val="0"/>
        <w:autoSpaceDN w:val="0"/>
        <w:adjustRightInd w:val="0"/>
        <w:spacing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On that date there were 9</w:t>
      </w:r>
      <w:r w:rsidR="00437EC4">
        <w:rPr>
          <w:rFonts w:ascii="Arial" w:eastAsiaTheme="minorHAnsi" w:hAnsi="Arial" w:cs="Arial"/>
          <w:szCs w:val="24"/>
          <w:lang w:eastAsia="en-US"/>
        </w:rPr>
        <w:t>70</w:t>
      </w:r>
      <w:r w:rsidRPr="00A4552E">
        <w:rPr>
          <w:rFonts w:ascii="Arial" w:eastAsiaTheme="minorHAnsi" w:hAnsi="Arial" w:cs="Arial"/>
          <w:szCs w:val="24"/>
          <w:lang w:eastAsia="en-US"/>
        </w:rPr>
        <w:t xml:space="preserve"> relevant and full-pay relevant employees, </w:t>
      </w:r>
      <w:r w:rsidR="00437EC4">
        <w:rPr>
          <w:rFonts w:ascii="Arial" w:eastAsiaTheme="minorHAnsi" w:hAnsi="Arial" w:cs="Arial"/>
          <w:szCs w:val="24"/>
          <w:lang w:eastAsia="en-US"/>
        </w:rPr>
        <w:t>337</w:t>
      </w:r>
      <w:r w:rsidRPr="00A4552E">
        <w:rPr>
          <w:rFonts w:ascii="Arial" w:eastAsiaTheme="minorHAnsi" w:hAnsi="Arial" w:cs="Arial"/>
          <w:szCs w:val="24"/>
          <w:lang w:eastAsia="en-US"/>
        </w:rPr>
        <w:t xml:space="preserve"> (34%) males and 6</w:t>
      </w:r>
      <w:r w:rsidR="00437EC4">
        <w:rPr>
          <w:rFonts w:ascii="Arial" w:eastAsiaTheme="minorHAnsi" w:hAnsi="Arial" w:cs="Arial"/>
          <w:szCs w:val="24"/>
          <w:lang w:eastAsia="en-US"/>
        </w:rPr>
        <w:t>63</w:t>
      </w:r>
      <w:r w:rsidRPr="00A4552E">
        <w:rPr>
          <w:rFonts w:ascii="Arial" w:eastAsiaTheme="minorHAnsi" w:hAnsi="Arial" w:cs="Arial"/>
          <w:szCs w:val="24"/>
          <w:lang w:eastAsia="en-US"/>
        </w:rPr>
        <w:t xml:space="preserve"> females (66%). </w:t>
      </w:r>
    </w:p>
    <w:p w:rsidR="00A4552E" w:rsidRPr="00A4552E" w:rsidRDefault="00A4552E" w:rsidP="00E02F69">
      <w:pPr>
        <w:autoSpaceDE w:val="0"/>
        <w:autoSpaceDN w:val="0"/>
        <w:adjustRightInd w:val="0"/>
        <w:spacing w:line="276" w:lineRule="auto"/>
        <w:jc w:val="both"/>
        <w:rPr>
          <w:rFonts w:ascii="Arial" w:eastAsiaTheme="minorHAnsi" w:hAnsi="Arial" w:cs="Arial"/>
          <w:szCs w:val="24"/>
          <w:lang w:eastAsia="en-US"/>
        </w:rPr>
      </w:pPr>
    </w:p>
    <w:p w:rsidR="00A4552E" w:rsidRPr="00A4552E" w:rsidRDefault="00A4552E" w:rsidP="00E02F69">
      <w:pPr>
        <w:autoSpaceDE w:val="0"/>
        <w:autoSpaceDN w:val="0"/>
        <w:adjustRightInd w:val="0"/>
        <w:spacing w:line="276" w:lineRule="auto"/>
        <w:jc w:val="both"/>
        <w:rPr>
          <w:rFonts w:ascii="Arial" w:eastAsiaTheme="minorHAnsi" w:hAnsi="Arial" w:cs="Arial"/>
          <w:szCs w:val="24"/>
          <w:lang w:eastAsia="en-US"/>
        </w:rPr>
      </w:pPr>
      <w:r w:rsidRPr="00A4552E">
        <w:rPr>
          <w:rFonts w:ascii="Arial" w:hAnsi="Arial" w:cs="Arial"/>
          <w:color w:val="000000"/>
          <w:szCs w:val="24"/>
        </w:rPr>
        <w:t>The figures set out below have been calculated using the standard calculations used in the Equality Act 2010 (Gender Pay Gap Information) Regulations 2017</w:t>
      </w:r>
      <w:r w:rsidR="00E02F69">
        <w:rPr>
          <w:rFonts w:ascii="Arial" w:hAnsi="Arial" w:cs="Arial"/>
          <w:color w:val="000000"/>
          <w:szCs w:val="24"/>
        </w:rPr>
        <w:t>.</w:t>
      </w:r>
    </w:p>
    <w:p w:rsidR="00A4552E" w:rsidRPr="00A4552E" w:rsidRDefault="00A4552E" w:rsidP="00A4552E">
      <w:pPr>
        <w:autoSpaceDE w:val="0"/>
        <w:autoSpaceDN w:val="0"/>
        <w:adjustRightInd w:val="0"/>
        <w:spacing w:line="276" w:lineRule="auto"/>
        <w:rPr>
          <w:rFonts w:ascii="Arial" w:eastAsiaTheme="minorHAnsi" w:hAnsi="Arial" w:cs="Arial"/>
          <w:b/>
          <w:szCs w:val="24"/>
          <w:lang w:eastAsia="en-US"/>
        </w:rPr>
      </w:pPr>
    </w:p>
    <w:p w:rsidR="00A4552E" w:rsidRPr="00A4552E" w:rsidRDefault="00A4552E" w:rsidP="00A4552E">
      <w:pPr>
        <w:autoSpaceDE w:val="0"/>
        <w:autoSpaceDN w:val="0"/>
        <w:adjustRightInd w:val="0"/>
        <w:spacing w:line="276" w:lineRule="auto"/>
        <w:rPr>
          <w:rFonts w:ascii="Arial" w:eastAsiaTheme="minorHAnsi" w:hAnsi="Arial" w:cs="Arial"/>
          <w:b/>
          <w:szCs w:val="24"/>
          <w:lang w:eastAsia="en-US"/>
        </w:rPr>
      </w:pPr>
      <w:r w:rsidRPr="00A4552E">
        <w:rPr>
          <w:rFonts w:ascii="Arial" w:eastAsiaTheme="minorHAnsi" w:hAnsi="Arial" w:cs="Arial"/>
          <w:b/>
          <w:szCs w:val="24"/>
          <w:lang w:eastAsia="en-US"/>
        </w:rPr>
        <w:t>Pay and Bonus Gap</w:t>
      </w:r>
    </w:p>
    <w:p w:rsidR="00A4552E" w:rsidRPr="00A4552E" w:rsidRDefault="00A4552E" w:rsidP="00A4552E">
      <w:pPr>
        <w:autoSpaceDE w:val="0"/>
        <w:autoSpaceDN w:val="0"/>
        <w:adjustRightInd w:val="0"/>
        <w:spacing w:line="276" w:lineRule="auto"/>
        <w:rPr>
          <w:rFonts w:ascii="Arial" w:eastAsiaTheme="minorHAnsi" w:hAnsi="Arial" w:cs="Arial"/>
          <w:b/>
          <w:szCs w:val="24"/>
          <w:lang w:eastAsia="en-US"/>
        </w:rPr>
      </w:pPr>
    </w:p>
    <w:tbl>
      <w:tblPr>
        <w:tblStyle w:val="TableGrid11"/>
        <w:tblW w:w="0" w:type="auto"/>
        <w:tblLook w:val="04A0" w:firstRow="1" w:lastRow="0" w:firstColumn="1" w:lastColumn="0" w:noHBand="0" w:noVBand="1"/>
      </w:tblPr>
      <w:tblGrid>
        <w:gridCol w:w="3080"/>
        <w:gridCol w:w="3081"/>
        <w:gridCol w:w="3081"/>
      </w:tblGrid>
      <w:tr w:rsidR="00A4552E" w:rsidRPr="00A4552E" w:rsidTr="005621D6">
        <w:tc>
          <w:tcPr>
            <w:tcW w:w="9242" w:type="dxa"/>
            <w:gridSpan w:val="3"/>
          </w:tcPr>
          <w:p w:rsidR="00A4552E" w:rsidRPr="00A4552E" w:rsidRDefault="00A4552E" w:rsidP="00A4552E">
            <w:pPr>
              <w:autoSpaceDE w:val="0"/>
              <w:autoSpaceDN w:val="0"/>
              <w:adjustRightInd w:val="0"/>
              <w:spacing w:line="276" w:lineRule="auto"/>
              <w:jc w:val="center"/>
              <w:rPr>
                <w:rFonts w:ascii="Arial" w:hAnsi="Arial" w:cs="Arial"/>
                <w:szCs w:val="24"/>
              </w:rPr>
            </w:pPr>
            <w:r w:rsidRPr="00A4552E">
              <w:rPr>
                <w:rFonts w:ascii="Arial" w:hAnsi="Arial" w:cs="Arial"/>
                <w:szCs w:val="24"/>
              </w:rPr>
              <w:t>Difference between male and female</w:t>
            </w:r>
          </w:p>
        </w:tc>
      </w:tr>
      <w:tr w:rsidR="00A4552E" w:rsidRPr="00A4552E" w:rsidTr="005621D6">
        <w:tc>
          <w:tcPr>
            <w:tcW w:w="3080" w:type="dxa"/>
          </w:tcPr>
          <w:p w:rsidR="00A4552E" w:rsidRPr="00A4552E" w:rsidRDefault="00A4552E" w:rsidP="00A4552E">
            <w:pPr>
              <w:autoSpaceDE w:val="0"/>
              <w:autoSpaceDN w:val="0"/>
              <w:adjustRightInd w:val="0"/>
              <w:spacing w:line="276" w:lineRule="auto"/>
              <w:rPr>
                <w:rFonts w:ascii="Arial" w:hAnsi="Arial" w:cs="Arial"/>
                <w:szCs w:val="24"/>
              </w:rPr>
            </w:pPr>
          </w:p>
        </w:tc>
        <w:tc>
          <w:tcPr>
            <w:tcW w:w="3081" w:type="dxa"/>
          </w:tcPr>
          <w:p w:rsidR="00A4552E" w:rsidRPr="00A4552E" w:rsidRDefault="00A4552E" w:rsidP="00A4552E">
            <w:pPr>
              <w:autoSpaceDE w:val="0"/>
              <w:autoSpaceDN w:val="0"/>
              <w:adjustRightInd w:val="0"/>
              <w:spacing w:line="276" w:lineRule="auto"/>
              <w:rPr>
                <w:rFonts w:ascii="Arial" w:hAnsi="Arial" w:cs="Arial"/>
                <w:szCs w:val="24"/>
              </w:rPr>
            </w:pPr>
            <w:r w:rsidRPr="00A4552E">
              <w:rPr>
                <w:rFonts w:ascii="Arial" w:hAnsi="Arial" w:cs="Arial"/>
                <w:szCs w:val="24"/>
              </w:rPr>
              <w:t>Mean</w:t>
            </w:r>
          </w:p>
        </w:tc>
        <w:tc>
          <w:tcPr>
            <w:tcW w:w="3081" w:type="dxa"/>
          </w:tcPr>
          <w:p w:rsidR="00A4552E" w:rsidRPr="00A4552E" w:rsidRDefault="00A4552E" w:rsidP="00A4552E">
            <w:pPr>
              <w:autoSpaceDE w:val="0"/>
              <w:autoSpaceDN w:val="0"/>
              <w:adjustRightInd w:val="0"/>
              <w:spacing w:line="276" w:lineRule="auto"/>
              <w:rPr>
                <w:rFonts w:ascii="Arial" w:hAnsi="Arial" w:cs="Arial"/>
                <w:szCs w:val="24"/>
              </w:rPr>
            </w:pPr>
            <w:r w:rsidRPr="00A4552E">
              <w:rPr>
                <w:rFonts w:ascii="Arial" w:hAnsi="Arial" w:cs="Arial"/>
                <w:szCs w:val="24"/>
              </w:rPr>
              <w:t>Median</w:t>
            </w:r>
          </w:p>
        </w:tc>
      </w:tr>
      <w:tr w:rsidR="00A4552E" w:rsidRPr="00A4552E" w:rsidTr="005621D6">
        <w:tc>
          <w:tcPr>
            <w:tcW w:w="3080" w:type="dxa"/>
          </w:tcPr>
          <w:p w:rsidR="00A4552E" w:rsidRPr="00A4552E" w:rsidRDefault="00A4552E" w:rsidP="00A4552E">
            <w:pPr>
              <w:autoSpaceDE w:val="0"/>
              <w:autoSpaceDN w:val="0"/>
              <w:adjustRightInd w:val="0"/>
              <w:spacing w:line="276" w:lineRule="auto"/>
              <w:rPr>
                <w:rFonts w:ascii="Arial" w:hAnsi="Arial" w:cs="Arial"/>
                <w:szCs w:val="24"/>
              </w:rPr>
            </w:pPr>
            <w:r w:rsidRPr="00A4552E">
              <w:rPr>
                <w:rFonts w:ascii="Arial" w:hAnsi="Arial" w:cs="Arial"/>
                <w:szCs w:val="24"/>
              </w:rPr>
              <w:t>Hourly fixed pay</w:t>
            </w:r>
          </w:p>
        </w:tc>
        <w:tc>
          <w:tcPr>
            <w:tcW w:w="3081" w:type="dxa"/>
          </w:tcPr>
          <w:p w:rsidR="00A4552E" w:rsidRPr="00A4552E" w:rsidRDefault="00437EC4" w:rsidP="00A4552E">
            <w:pPr>
              <w:autoSpaceDE w:val="0"/>
              <w:autoSpaceDN w:val="0"/>
              <w:adjustRightInd w:val="0"/>
              <w:spacing w:line="276" w:lineRule="auto"/>
              <w:rPr>
                <w:rFonts w:ascii="Arial" w:hAnsi="Arial" w:cs="Arial"/>
                <w:szCs w:val="24"/>
              </w:rPr>
            </w:pPr>
            <w:r>
              <w:rPr>
                <w:rFonts w:ascii="Arial" w:hAnsi="Arial" w:cs="Arial"/>
                <w:szCs w:val="24"/>
              </w:rPr>
              <w:t>7.3</w:t>
            </w:r>
            <w:r w:rsidR="00A4552E" w:rsidRPr="00A4552E">
              <w:rPr>
                <w:rFonts w:ascii="Arial" w:hAnsi="Arial" w:cs="Arial"/>
                <w:szCs w:val="24"/>
              </w:rPr>
              <w:t>%</w:t>
            </w:r>
          </w:p>
        </w:tc>
        <w:tc>
          <w:tcPr>
            <w:tcW w:w="3081" w:type="dxa"/>
          </w:tcPr>
          <w:p w:rsidR="00A4552E" w:rsidRPr="00A4552E" w:rsidRDefault="00437EC4" w:rsidP="00381EFE">
            <w:pPr>
              <w:autoSpaceDE w:val="0"/>
              <w:autoSpaceDN w:val="0"/>
              <w:adjustRightInd w:val="0"/>
              <w:spacing w:line="276" w:lineRule="auto"/>
              <w:rPr>
                <w:rFonts w:ascii="Arial" w:hAnsi="Arial" w:cs="Arial"/>
                <w:szCs w:val="24"/>
              </w:rPr>
            </w:pPr>
            <w:r>
              <w:rPr>
                <w:rFonts w:ascii="Arial" w:hAnsi="Arial" w:cs="Arial"/>
                <w:szCs w:val="24"/>
              </w:rPr>
              <w:t>0</w:t>
            </w:r>
            <w:r w:rsidR="00A4552E" w:rsidRPr="00A4552E">
              <w:rPr>
                <w:rFonts w:ascii="Arial" w:hAnsi="Arial" w:cs="Arial"/>
                <w:szCs w:val="24"/>
              </w:rPr>
              <w:t>%</w:t>
            </w:r>
          </w:p>
        </w:tc>
      </w:tr>
      <w:tr w:rsidR="00A4552E" w:rsidRPr="00A4552E" w:rsidTr="005621D6">
        <w:tc>
          <w:tcPr>
            <w:tcW w:w="3080" w:type="dxa"/>
          </w:tcPr>
          <w:p w:rsidR="00A4552E" w:rsidRPr="00A4552E" w:rsidRDefault="00A4552E" w:rsidP="00A4552E">
            <w:pPr>
              <w:autoSpaceDE w:val="0"/>
              <w:autoSpaceDN w:val="0"/>
              <w:adjustRightInd w:val="0"/>
              <w:spacing w:line="276" w:lineRule="auto"/>
              <w:rPr>
                <w:rFonts w:ascii="Arial" w:hAnsi="Arial" w:cs="Arial"/>
                <w:szCs w:val="24"/>
              </w:rPr>
            </w:pPr>
            <w:r w:rsidRPr="00A4552E">
              <w:rPr>
                <w:rFonts w:ascii="Arial" w:hAnsi="Arial" w:cs="Arial"/>
                <w:szCs w:val="24"/>
              </w:rPr>
              <w:t>Bonus paid</w:t>
            </w:r>
          </w:p>
        </w:tc>
        <w:tc>
          <w:tcPr>
            <w:tcW w:w="3081" w:type="dxa"/>
          </w:tcPr>
          <w:p w:rsidR="00A4552E" w:rsidRPr="00A4552E" w:rsidRDefault="00A4552E" w:rsidP="00A4552E">
            <w:pPr>
              <w:autoSpaceDE w:val="0"/>
              <w:autoSpaceDN w:val="0"/>
              <w:adjustRightInd w:val="0"/>
              <w:spacing w:line="276" w:lineRule="auto"/>
              <w:rPr>
                <w:rFonts w:ascii="Arial" w:hAnsi="Arial" w:cs="Arial"/>
                <w:szCs w:val="24"/>
              </w:rPr>
            </w:pPr>
            <w:r w:rsidRPr="00A4552E">
              <w:rPr>
                <w:rFonts w:ascii="Arial" w:hAnsi="Arial" w:cs="Arial"/>
                <w:szCs w:val="24"/>
              </w:rPr>
              <w:t>0%</w:t>
            </w:r>
          </w:p>
        </w:tc>
        <w:tc>
          <w:tcPr>
            <w:tcW w:w="3081" w:type="dxa"/>
          </w:tcPr>
          <w:p w:rsidR="00A4552E" w:rsidRPr="00A4552E" w:rsidRDefault="00A4552E" w:rsidP="00A4552E">
            <w:pPr>
              <w:autoSpaceDE w:val="0"/>
              <w:autoSpaceDN w:val="0"/>
              <w:adjustRightInd w:val="0"/>
              <w:spacing w:line="276" w:lineRule="auto"/>
              <w:rPr>
                <w:rFonts w:ascii="Arial" w:hAnsi="Arial" w:cs="Arial"/>
                <w:szCs w:val="24"/>
              </w:rPr>
            </w:pPr>
            <w:r w:rsidRPr="00A4552E">
              <w:rPr>
                <w:rFonts w:ascii="Arial" w:hAnsi="Arial" w:cs="Arial"/>
                <w:szCs w:val="24"/>
              </w:rPr>
              <w:t>0%</w:t>
            </w:r>
          </w:p>
        </w:tc>
      </w:tr>
    </w:tbl>
    <w:p w:rsidR="00A4552E" w:rsidRPr="00A4552E" w:rsidRDefault="00A4552E" w:rsidP="005F649D">
      <w:pPr>
        <w:numPr>
          <w:ilvl w:val="0"/>
          <w:numId w:val="2"/>
        </w:numPr>
        <w:spacing w:before="192" w:after="192" w:line="276" w:lineRule="auto"/>
        <w:jc w:val="both"/>
        <w:rPr>
          <w:rFonts w:ascii="Arial" w:hAnsi="Arial" w:cs="Arial"/>
          <w:szCs w:val="24"/>
          <w:lang w:val="en"/>
        </w:rPr>
      </w:pPr>
      <w:r w:rsidRPr="00A4552E">
        <w:rPr>
          <w:rFonts w:ascii="Arial" w:hAnsi="Arial" w:cs="Arial"/>
          <w:szCs w:val="24"/>
          <w:lang w:val="en"/>
        </w:rPr>
        <w:t xml:space="preserve">The table above shows High Life Highland’s mean and median gender pay gap based on hourly rates of pay.  </w:t>
      </w:r>
    </w:p>
    <w:p w:rsidR="00A4552E" w:rsidRDefault="00A4552E" w:rsidP="005F649D">
      <w:pPr>
        <w:numPr>
          <w:ilvl w:val="0"/>
          <w:numId w:val="2"/>
        </w:numPr>
        <w:spacing w:before="192" w:after="192" w:line="276" w:lineRule="auto"/>
        <w:jc w:val="both"/>
        <w:rPr>
          <w:rFonts w:ascii="Arial" w:hAnsi="Arial" w:cs="Arial"/>
          <w:szCs w:val="24"/>
          <w:lang w:val="en"/>
        </w:rPr>
      </w:pPr>
      <w:r w:rsidRPr="00A4552E">
        <w:rPr>
          <w:rFonts w:ascii="Arial" w:hAnsi="Arial" w:cs="Arial"/>
          <w:szCs w:val="24"/>
          <w:lang w:val="en"/>
        </w:rPr>
        <w:t>There were no bonuses paid to any staff in the year up to 31 March 201</w:t>
      </w:r>
      <w:r w:rsidR="00437EC4">
        <w:rPr>
          <w:rFonts w:ascii="Arial" w:hAnsi="Arial" w:cs="Arial"/>
          <w:szCs w:val="24"/>
          <w:lang w:val="en"/>
        </w:rPr>
        <w:t>9</w:t>
      </w:r>
      <w:r w:rsidRPr="00A4552E">
        <w:rPr>
          <w:rFonts w:ascii="Arial" w:hAnsi="Arial" w:cs="Arial"/>
          <w:szCs w:val="24"/>
          <w:lang w:val="en"/>
        </w:rPr>
        <w:t>.</w:t>
      </w:r>
    </w:p>
    <w:p w:rsidR="00381EFE" w:rsidRPr="00987868" w:rsidRDefault="00D87459" w:rsidP="005F649D">
      <w:pPr>
        <w:pStyle w:val="ListParagraph"/>
        <w:numPr>
          <w:ilvl w:val="0"/>
          <w:numId w:val="2"/>
        </w:numPr>
        <w:spacing w:before="192" w:after="192" w:line="276" w:lineRule="auto"/>
        <w:jc w:val="both"/>
        <w:rPr>
          <w:rFonts w:ascii="Arial" w:hAnsi="Arial" w:cs="Arial"/>
          <w:sz w:val="16"/>
          <w:szCs w:val="16"/>
          <w:vertAlign w:val="superscript"/>
          <w:lang w:val="en"/>
        </w:rPr>
      </w:pPr>
      <w:r w:rsidRPr="00987868">
        <w:rPr>
          <w:rFonts w:ascii="Arial" w:hAnsi="Arial" w:cs="Arial"/>
          <w:color w:val="333333"/>
          <w:szCs w:val="24"/>
        </w:rPr>
        <w:t>Of the 10</w:t>
      </w:r>
      <w:r w:rsidR="00EF42F5">
        <w:rPr>
          <w:rFonts w:ascii="Arial" w:hAnsi="Arial" w:cs="Arial"/>
          <w:color w:val="333333"/>
          <w:szCs w:val="24"/>
        </w:rPr>
        <w:t>,</w:t>
      </w:r>
      <w:r w:rsidR="00987868" w:rsidRPr="00987868">
        <w:rPr>
          <w:rFonts w:ascii="Arial" w:hAnsi="Arial" w:cs="Arial"/>
          <w:color w:val="333333"/>
          <w:szCs w:val="24"/>
        </w:rPr>
        <w:t>80</w:t>
      </w:r>
      <w:r w:rsidRPr="00987868">
        <w:rPr>
          <w:rFonts w:ascii="Arial" w:hAnsi="Arial" w:cs="Arial"/>
          <w:color w:val="333333"/>
          <w:szCs w:val="24"/>
        </w:rPr>
        <w:t>4 employers reporting i</w:t>
      </w:r>
      <w:r w:rsidR="00381EFE" w:rsidRPr="00987868">
        <w:rPr>
          <w:rFonts w:ascii="Arial" w:hAnsi="Arial" w:cs="Arial"/>
          <w:color w:val="333333"/>
          <w:szCs w:val="24"/>
        </w:rPr>
        <w:t xml:space="preserve">n </w:t>
      </w:r>
      <w:r w:rsidRPr="00987868">
        <w:rPr>
          <w:rFonts w:ascii="Arial" w:hAnsi="Arial" w:cs="Arial"/>
          <w:color w:val="333333"/>
          <w:szCs w:val="24"/>
        </w:rPr>
        <w:t>2018/</w:t>
      </w:r>
      <w:r w:rsidR="00381EFE" w:rsidRPr="00987868">
        <w:rPr>
          <w:rFonts w:ascii="Arial" w:hAnsi="Arial" w:cs="Arial"/>
          <w:color w:val="333333"/>
          <w:szCs w:val="24"/>
        </w:rPr>
        <w:t>1</w:t>
      </w:r>
      <w:r w:rsidRPr="00987868">
        <w:rPr>
          <w:rFonts w:ascii="Arial" w:hAnsi="Arial" w:cs="Arial"/>
          <w:color w:val="333333"/>
          <w:szCs w:val="24"/>
        </w:rPr>
        <w:t>9</w:t>
      </w:r>
      <w:r w:rsidR="00381EFE" w:rsidRPr="00987868">
        <w:rPr>
          <w:rFonts w:ascii="Arial" w:hAnsi="Arial" w:cs="Arial"/>
          <w:color w:val="333333"/>
          <w:szCs w:val="24"/>
        </w:rPr>
        <w:t xml:space="preserve"> the me</w:t>
      </w:r>
      <w:r w:rsidRPr="00987868">
        <w:rPr>
          <w:rFonts w:ascii="Arial" w:hAnsi="Arial" w:cs="Arial"/>
          <w:color w:val="333333"/>
          <w:szCs w:val="24"/>
        </w:rPr>
        <w:t>an</w:t>
      </w:r>
      <w:r w:rsidR="00381EFE" w:rsidRPr="00987868">
        <w:rPr>
          <w:rFonts w:ascii="Arial" w:hAnsi="Arial" w:cs="Arial"/>
          <w:color w:val="333333"/>
          <w:szCs w:val="24"/>
        </w:rPr>
        <w:t xml:space="preserve"> gender pay gap for all employees was </w:t>
      </w:r>
      <w:r w:rsidRPr="00987868">
        <w:rPr>
          <w:rFonts w:ascii="Arial" w:hAnsi="Arial" w:cs="Arial"/>
          <w:color w:val="333333"/>
          <w:szCs w:val="24"/>
        </w:rPr>
        <w:t>14.2</w:t>
      </w:r>
      <w:r w:rsidR="00381EFE" w:rsidRPr="00987868">
        <w:rPr>
          <w:rFonts w:ascii="Arial" w:hAnsi="Arial" w:cs="Arial"/>
          <w:color w:val="333333"/>
          <w:szCs w:val="24"/>
        </w:rPr>
        <w:t>%</w:t>
      </w:r>
      <w:r w:rsidRPr="00987868">
        <w:rPr>
          <w:rFonts w:ascii="Arial" w:hAnsi="Arial" w:cs="Arial"/>
          <w:color w:val="333333"/>
          <w:szCs w:val="24"/>
        </w:rPr>
        <w:t xml:space="preserve"> and the median gender pay gap 11.9%</w:t>
      </w:r>
      <w:r w:rsidR="00987868" w:rsidRPr="00987868">
        <w:rPr>
          <w:rFonts w:ascii="Arial" w:hAnsi="Arial" w:cs="Arial"/>
          <w:color w:val="333333"/>
          <w:szCs w:val="24"/>
          <w:vertAlign w:val="superscript"/>
        </w:rPr>
        <w:t>1</w:t>
      </w:r>
    </w:p>
    <w:p w:rsidR="00A4552E" w:rsidRPr="00A4552E" w:rsidRDefault="00A4552E" w:rsidP="005F649D">
      <w:pPr>
        <w:numPr>
          <w:ilvl w:val="0"/>
          <w:numId w:val="2"/>
        </w:numPr>
        <w:spacing w:before="192" w:after="192" w:line="276" w:lineRule="auto"/>
        <w:jc w:val="both"/>
        <w:rPr>
          <w:rFonts w:ascii="Arial" w:hAnsi="Arial" w:cs="Arial"/>
          <w:szCs w:val="24"/>
          <w:lang w:val="en"/>
        </w:rPr>
      </w:pPr>
      <w:r w:rsidRPr="00A4552E">
        <w:rPr>
          <w:rFonts w:ascii="Arial" w:hAnsi="Arial" w:cs="Arial"/>
          <w:szCs w:val="24"/>
          <w:lang w:val="en"/>
        </w:rPr>
        <w:t xml:space="preserve">High Life Highland’s mean pay gap of </w:t>
      </w:r>
      <w:r w:rsidR="00D87459">
        <w:rPr>
          <w:rFonts w:ascii="Arial" w:hAnsi="Arial" w:cs="Arial"/>
          <w:szCs w:val="24"/>
          <w:lang w:val="en"/>
        </w:rPr>
        <w:t>7.2</w:t>
      </w:r>
      <w:r w:rsidR="00EF42F5">
        <w:rPr>
          <w:rFonts w:ascii="Arial" w:hAnsi="Arial" w:cs="Arial"/>
          <w:szCs w:val="24"/>
          <w:lang w:val="en"/>
        </w:rPr>
        <w:t xml:space="preserve">% is </w:t>
      </w:r>
      <w:r w:rsidRPr="00A4552E">
        <w:rPr>
          <w:rFonts w:ascii="Arial" w:hAnsi="Arial" w:cs="Arial"/>
          <w:szCs w:val="24"/>
          <w:lang w:val="en"/>
        </w:rPr>
        <w:t>less than the national average</w:t>
      </w:r>
      <w:r w:rsidR="00EF42F5">
        <w:rPr>
          <w:rFonts w:ascii="Arial" w:hAnsi="Arial" w:cs="Arial"/>
          <w:szCs w:val="24"/>
          <w:lang w:val="en"/>
        </w:rPr>
        <w:t xml:space="preserve"> by 6.9%</w:t>
      </w:r>
      <w:r w:rsidR="00987868">
        <w:rPr>
          <w:rFonts w:ascii="Arial" w:hAnsi="Arial" w:cs="Arial"/>
          <w:szCs w:val="24"/>
          <w:lang w:val="en"/>
        </w:rPr>
        <w:t>.</w:t>
      </w:r>
      <w:r w:rsidRPr="00A4552E">
        <w:rPr>
          <w:rFonts w:ascii="Arial" w:hAnsi="Arial" w:cs="Arial"/>
          <w:szCs w:val="24"/>
          <w:lang w:val="en"/>
        </w:rPr>
        <w:t xml:space="preserve"> </w:t>
      </w:r>
    </w:p>
    <w:p w:rsidR="00A4552E" w:rsidRPr="00A4552E" w:rsidRDefault="00A4552E" w:rsidP="005F649D">
      <w:pPr>
        <w:numPr>
          <w:ilvl w:val="0"/>
          <w:numId w:val="2"/>
        </w:numPr>
        <w:spacing w:before="192" w:after="192" w:line="276" w:lineRule="auto"/>
        <w:jc w:val="both"/>
        <w:rPr>
          <w:rFonts w:ascii="Arial" w:hAnsi="Arial" w:cs="Arial"/>
          <w:szCs w:val="24"/>
          <w:lang w:val="en"/>
        </w:rPr>
      </w:pPr>
      <w:r w:rsidRPr="00A4552E">
        <w:rPr>
          <w:rFonts w:ascii="Arial" w:hAnsi="Arial" w:cs="Arial"/>
          <w:szCs w:val="24"/>
          <w:lang w:val="en"/>
        </w:rPr>
        <w:t xml:space="preserve">With a </w:t>
      </w:r>
      <w:r w:rsidR="00D87459">
        <w:rPr>
          <w:rFonts w:ascii="Arial" w:hAnsi="Arial" w:cs="Arial"/>
          <w:szCs w:val="24"/>
          <w:lang w:val="en"/>
        </w:rPr>
        <w:t>0</w:t>
      </w:r>
      <w:r w:rsidRPr="00A4552E">
        <w:rPr>
          <w:rFonts w:ascii="Arial" w:hAnsi="Arial" w:cs="Arial"/>
          <w:szCs w:val="24"/>
          <w:lang w:val="en"/>
        </w:rPr>
        <w:t xml:space="preserve">% median pay gap, High Life Highland is </w:t>
      </w:r>
      <w:r w:rsidR="00987868">
        <w:rPr>
          <w:rFonts w:ascii="Arial" w:hAnsi="Arial" w:cs="Arial"/>
          <w:szCs w:val="24"/>
          <w:lang w:val="en"/>
        </w:rPr>
        <w:t>11</w:t>
      </w:r>
      <w:r w:rsidRPr="00A4552E">
        <w:rPr>
          <w:rFonts w:ascii="Arial" w:hAnsi="Arial" w:cs="Arial"/>
          <w:szCs w:val="24"/>
          <w:lang w:val="en"/>
        </w:rPr>
        <w:t>.9% below the national average for 201</w:t>
      </w:r>
      <w:r w:rsidR="00987868">
        <w:rPr>
          <w:rFonts w:ascii="Arial" w:hAnsi="Arial" w:cs="Arial"/>
          <w:szCs w:val="24"/>
          <w:lang w:val="en"/>
        </w:rPr>
        <w:t>8</w:t>
      </w:r>
      <w:r w:rsidRPr="00A4552E">
        <w:rPr>
          <w:rFonts w:ascii="Arial" w:hAnsi="Arial" w:cs="Arial"/>
          <w:szCs w:val="24"/>
          <w:lang w:val="en"/>
        </w:rPr>
        <w:t>/1</w:t>
      </w:r>
      <w:r w:rsidR="00987868">
        <w:rPr>
          <w:rFonts w:ascii="Arial" w:hAnsi="Arial" w:cs="Arial"/>
          <w:szCs w:val="24"/>
          <w:lang w:val="en"/>
        </w:rPr>
        <w:t>9.</w:t>
      </w:r>
    </w:p>
    <w:p w:rsidR="00A4552E" w:rsidRPr="00A4552E" w:rsidRDefault="00A4552E" w:rsidP="00A4552E">
      <w:pPr>
        <w:spacing w:before="192" w:after="192" w:line="276" w:lineRule="auto"/>
        <w:rPr>
          <w:rFonts w:ascii="Arial" w:hAnsi="Arial" w:cs="Arial"/>
          <w:szCs w:val="24"/>
          <w:lang w:val="en"/>
        </w:rPr>
      </w:pPr>
    </w:p>
    <w:p w:rsidR="00987868" w:rsidRPr="00987868" w:rsidRDefault="00987868" w:rsidP="00987868">
      <w:pPr>
        <w:spacing w:before="192" w:after="192" w:line="276" w:lineRule="auto"/>
        <w:ind w:left="142" w:hanging="142"/>
        <w:rPr>
          <w:rFonts w:ascii="Arial" w:hAnsi="Arial" w:cs="Arial"/>
          <w:sz w:val="18"/>
          <w:szCs w:val="18"/>
          <w:lang w:val="en"/>
        </w:rPr>
      </w:pPr>
      <w:r w:rsidRPr="00987868">
        <w:rPr>
          <w:rFonts w:ascii="Arial" w:hAnsi="Arial" w:cs="Arial"/>
          <w:sz w:val="20"/>
          <w:vertAlign w:val="superscript"/>
          <w:lang w:val="en"/>
        </w:rPr>
        <w:t xml:space="preserve">1 </w:t>
      </w:r>
      <w:hyperlink r:id="rId9" w:history="1">
        <w:r w:rsidRPr="00987868">
          <w:rPr>
            <w:rStyle w:val="Hyperlink"/>
            <w:rFonts w:ascii="Arial" w:hAnsi="Arial" w:cs="Arial"/>
            <w:sz w:val="18"/>
            <w:szCs w:val="18"/>
            <w:lang w:val="en"/>
          </w:rPr>
          <w:t>https://gender-pay-gap.service.gov.uk</w:t>
        </w:r>
      </w:hyperlink>
      <w:r w:rsidRPr="00987868">
        <w:rPr>
          <w:rFonts w:ascii="Arial" w:hAnsi="Arial" w:cs="Arial"/>
          <w:sz w:val="18"/>
          <w:szCs w:val="18"/>
          <w:lang w:val="en"/>
        </w:rPr>
        <w:t xml:space="preserve">  Employers with 250 or more employees who have published their figures comparing men and women’s average pay across the organisation.</w:t>
      </w:r>
    </w:p>
    <w:p w:rsidR="00987868" w:rsidRPr="00987868" w:rsidRDefault="00987868" w:rsidP="00987868">
      <w:pPr>
        <w:spacing w:before="192" w:after="192" w:line="276" w:lineRule="auto"/>
        <w:ind w:left="142" w:hanging="142"/>
        <w:rPr>
          <w:rFonts w:ascii="Arial" w:hAnsi="Arial" w:cs="Arial"/>
          <w:sz w:val="20"/>
          <w:lang w:val="en"/>
        </w:rPr>
      </w:pPr>
    </w:p>
    <w:p w:rsidR="00A4552E" w:rsidRPr="00A4552E" w:rsidRDefault="00A4552E" w:rsidP="00A4552E">
      <w:pPr>
        <w:spacing w:before="192" w:after="192" w:line="276" w:lineRule="auto"/>
        <w:rPr>
          <w:rFonts w:ascii="Arial" w:hAnsi="Arial" w:cs="Arial"/>
          <w:sz w:val="16"/>
          <w:szCs w:val="16"/>
          <w:highlight w:val="yellow"/>
          <w:u w:val="single"/>
          <w:lang w:val="en"/>
        </w:rPr>
      </w:pPr>
    </w:p>
    <w:p w:rsidR="00A4552E" w:rsidRPr="00A4552E" w:rsidRDefault="00A4552E" w:rsidP="00A4552E">
      <w:pPr>
        <w:shd w:val="clear" w:color="auto" w:fill="FFFFFF"/>
        <w:spacing w:before="100" w:beforeAutospacing="1" w:after="180" w:line="276" w:lineRule="auto"/>
        <w:rPr>
          <w:rFonts w:ascii="Arial" w:hAnsi="Arial" w:cs="Arial"/>
          <w:b/>
          <w:szCs w:val="24"/>
        </w:rPr>
      </w:pPr>
    </w:p>
    <w:p w:rsidR="00A4552E" w:rsidRPr="00A4552E" w:rsidRDefault="00A4552E" w:rsidP="00A4552E">
      <w:pPr>
        <w:shd w:val="clear" w:color="auto" w:fill="FFFFFF"/>
        <w:spacing w:before="100" w:beforeAutospacing="1" w:after="180" w:line="276" w:lineRule="auto"/>
        <w:rPr>
          <w:rFonts w:ascii="Arial" w:hAnsi="Arial" w:cs="Arial"/>
          <w:b/>
          <w:szCs w:val="24"/>
        </w:rPr>
      </w:pPr>
    </w:p>
    <w:p w:rsidR="00A4552E" w:rsidRPr="00A4552E" w:rsidRDefault="00A4552E" w:rsidP="00A4552E">
      <w:pPr>
        <w:shd w:val="clear" w:color="auto" w:fill="FFFFFF"/>
        <w:spacing w:before="100" w:beforeAutospacing="1" w:after="180" w:line="276" w:lineRule="auto"/>
        <w:rPr>
          <w:rFonts w:ascii="Arial" w:hAnsi="Arial" w:cs="Arial"/>
          <w:b/>
          <w:szCs w:val="24"/>
        </w:rPr>
      </w:pPr>
    </w:p>
    <w:p w:rsidR="00A4552E" w:rsidRPr="00A4552E" w:rsidRDefault="00A4552E" w:rsidP="00A4552E">
      <w:pPr>
        <w:shd w:val="clear" w:color="auto" w:fill="FFFFFF"/>
        <w:spacing w:before="100" w:beforeAutospacing="1" w:after="180" w:line="276" w:lineRule="auto"/>
        <w:rPr>
          <w:rFonts w:ascii="Arial" w:hAnsi="Arial" w:cs="Arial"/>
          <w:b/>
          <w:szCs w:val="24"/>
        </w:rPr>
      </w:pPr>
      <w:r w:rsidRPr="00A4552E">
        <w:rPr>
          <w:rFonts w:ascii="Arial" w:hAnsi="Arial" w:cs="Arial"/>
          <w:b/>
          <w:szCs w:val="24"/>
        </w:rPr>
        <w:t>Pay Quartiles by Gender</w:t>
      </w:r>
    </w:p>
    <w:tbl>
      <w:tblPr>
        <w:tblW w:w="0" w:type="auto"/>
        <w:tblBorders>
          <w:top w:val="single" w:sz="6" w:space="0" w:color="ABABAB"/>
          <w:left w:val="single" w:sz="6" w:space="0" w:color="ABABAB"/>
          <w:bottom w:val="single" w:sz="6" w:space="0" w:color="ABABAB"/>
          <w:right w:val="single" w:sz="6" w:space="0" w:color="ABABAB"/>
        </w:tblBorders>
        <w:tblCellMar>
          <w:top w:w="15" w:type="dxa"/>
          <w:left w:w="15" w:type="dxa"/>
          <w:bottom w:w="15" w:type="dxa"/>
          <w:right w:w="15" w:type="dxa"/>
        </w:tblCellMar>
        <w:tblLook w:val="04A0" w:firstRow="1" w:lastRow="0" w:firstColumn="1" w:lastColumn="0" w:noHBand="0" w:noVBand="1"/>
      </w:tblPr>
      <w:tblGrid>
        <w:gridCol w:w="1267"/>
        <w:gridCol w:w="1028"/>
        <w:gridCol w:w="1321"/>
        <w:gridCol w:w="6076"/>
      </w:tblGrid>
      <w:tr w:rsidR="00A4552E" w:rsidRPr="00A4552E" w:rsidTr="005621D6">
        <w:trPr>
          <w:trHeight w:val="462"/>
          <w:tblHeader/>
        </w:trPr>
        <w:tc>
          <w:tcPr>
            <w:tcW w:w="0" w:type="auto"/>
            <w:tcBorders>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b/>
                <w:bCs/>
                <w:szCs w:val="24"/>
                <w:lang w:eastAsia="en-US"/>
              </w:rPr>
            </w:pPr>
            <w:r w:rsidRPr="00A4552E">
              <w:rPr>
                <w:rFonts w:ascii="Arial" w:eastAsiaTheme="minorHAnsi" w:hAnsi="Arial" w:cs="Arial"/>
                <w:b/>
                <w:bCs/>
                <w:szCs w:val="24"/>
                <w:lang w:eastAsia="en-US"/>
              </w:rPr>
              <w:t>Quartile</w:t>
            </w:r>
          </w:p>
        </w:tc>
        <w:tc>
          <w:tcPr>
            <w:tcW w:w="0" w:type="auto"/>
            <w:tcBorders>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b/>
                <w:bCs/>
                <w:szCs w:val="24"/>
                <w:lang w:eastAsia="en-US"/>
              </w:rPr>
            </w:pPr>
            <w:r w:rsidRPr="00A4552E">
              <w:rPr>
                <w:rFonts w:ascii="Arial" w:eastAsiaTheme="minorHAnsi" w:hAnsi="Arial" w:cs="Arial"/>
                <w:b/>
                <w:bCs/>
                <w:szCs w:val="24"/>
                <w:lang w:eastAsia="en-US"/>
              </w:rPr>
              <w:t>Males</w:t>
            </w:r>
          </w:p>
        </w:tc>
        <w:tc>
          <w:tcPr>
            <w:tcW w:w="0" w:type="auto"/>
            <w:tcBorders>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b/>
                <w:bCs/>
                <w:szCs w:val="24"/>
                <w:lang w:eastAsia="en-US"/>
              </w:rPr>
            </w:pPr>
            <w:r w:rsidRPr="00A4552E">
              <w:rPr>
                <w:rFonts w:ascii="Arial" w:eastAsiaTheme="minorHAnsi" w:hAnsi="Arial" w:cs="Arial"/>
                <w:b/>
                <w:bCs/>
                <w:szCs w:val="24"/>
                <w:lang w:eastAsia="en-US"/>
              </w:rPr>
              <w:t>Females</w:t>
            </w:r>
          </w:p>
        </w:tc>
        <w:tc>
          <w:tcPr>
            <w:tcW w:w="0" w:type="auto"/>
            <w:tcBorders>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b/>
                <w:bCs/>
                <w:szCs w:val="24"/>
                <w:lang w:eastAsia="en-US"/>
              </w:rPr>
            </w:pPr>
            <w:r w:rsidRPr="00A4552E">
              <w:rPr>
                <w:rFonts w:ascii="Arial" w:eastAsiaTheme="minorHAnsi" w:hAnsi="Arial" w:cs="Arial"/>
                <w:b/>
                <w:bCs/>
                <w:szCs w:val="24"/>
                <w:lang w:eastAsia="en-US"/>
              </w:rPr>
              <w:t>Description</w:t>
            </w:r>
          </w:p>
        </w:tc>
      </w:tr>
      <w:tr w:rsidR="00A4552E" w:rsidRPr="00A4552E" w:rsidTr="005621D6">
        <w:trPr>
          <w:trHeight w:val="984"/>
        </w:trPr>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szCs w:val="24"/>
                <w:lang w:eastAsia="en-US"/>
              </w:rPr>
            </w:pPr>
            <w:r w:rsidRPr="00A4552E">
              <w:rPr>
                <w:rFonts w:ascii="Arial" w:eastAsiaTheme="minorHAnsi" w:hAnsi="Arial" w:cs="Arial"/>
                <w:szCs w:val="24"/>
                <w:lang w:eastAsia="en-US"/>
              </w:rPr>
              <w:t>1</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437EC4" w:rsidP="00A4552E">
            <w:pPr>
              <w:spacing w:after="200" w:line="276" w:lineRule="auto"/>
              <w:rPr>
                <w:rFonts w:ascii="Arial" w:eastAsiaTheme="minorHAnsi" w:hAnsi="Arial" w:cs="Arial"/>
                <w:szCs w:val="24"/>
                <w:lang w:eastAsia="en-US"/>
              </w:rPr>
            </w:pPr>
            <w:r>
              <w:rPr>
                <w:rFonts w:ascii="Arial" w:eastAsiaTheme="minorHAnsi" w:hAnsi="Arial" w:cs="Arial"/>
                <w:szCs w:val="24"/>
                <w:lang w:eastAsia="en-US"/>
              </w:rPr>
              <w:t>28</w:t>
            </w:r>
            <w:r w:rsidR="00A4552E"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437EC4">
            <w:pPr>
              <w:spacing w:after="200" w:line="276" w:lineRule="auto"/>
              <w:rPr>
                <w:rFonts w:ascii="Arial" w:eastAsiaTheme="minorHAnsi" w:hAnsi="Arial" w:cs="Arial"/>
                <w:szCs w:val="24"/>
                <w:lang w:eastAsia="en-US"/>
              </w:rPr>
            </w:pPr>
            <w:r w:rsidRPr="00A4552E">
              <w:rPr>
                <w:rFonts w:ascii="Arial" w:eastAsiaTheme="minorHAnsi" w:hAnsi="Arial" w:cs="Arial"/>
                <w:szCs w:val="24"/>
                <w:lang w:eastAsia="en-US"/>
              </w:rPr>
              <w:t>7</w:t>
            </w:r>
            <w:r w:rsidR="00437EC4">
              <w:rPr>
                <w:rFonts w:ascii="Arial" w:eastAsiaTheme="minorHAnsi" w:hAnsi="Arial" w:cs="Arial"/>
                <w:szCs w:val="24"/>
                <w:lang w:eastAsia="en-US"/>
              </w:rPr>
              <w:t>2</w:t>
            </w:r>
            <w:r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E02F69">
            <w:pPr>
              <w:spacing w:after="200"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Includes all High Life Highland employees whose standard hourly rate places them in the 1</w:t>
            </w:r>
            <w:r w:rsidRPr="00A4552E">
              <w:rPr>
                <w:rFonts w:ascii="Arial" w:eastAsiaTheme="minorHAnsi" w:hAnsi="Arial" w:cs="Arial"/>
                <w:szCs w:val="24"/>
                <w:vertAlign w:val="superscript"/>
                <w:lang w:eastAsia="en-US"/>
              </w:rPr>
              <w:t>st</w:t>
            </w:r>
            <w:r w:rsidRPr="00A4552E">
              <w:rPr>
                <w:rFonts w:ascii="Arial" w:eastAsiaTheme="minorHAnsi" w:hAnsi="Arial" w:cs="Arial"/>
                <w:szCs w:val="24"/>
                <w:lang w:eastAsia="en-US"/>
              </w:rPr>
              <w:t xml:space="preserve"> and lowest pay quartile.</w:t>
            </w:r>
          </w:p>
        </w:tc>
      </w:tr>
      <w:tr w:rsidR="00A4552E" w:rsidRPr="00A4552E" w:rsidTr="005621D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szCs w:val="24"/>
                <w:lang w:eastAsia="en-US"/>
              </w:rPr>
            </w:pPr>
            <w:r w:rsidRPr="00A4552E">
              <w:rPr>
                <w:rFonts w:ascii="Arial" w:eastAsiaTheme="minorHAnsi" w:hAnsi="Arial" w:cs="Arial"/>
                <w:szCs w:val="24"/>
                <w:lang w:eastAsia="en-US"/>
              </w:rPr>
              <w:t>2</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437EC4">
            <w:pPr>
              <w:spacing w:after="200" w:line="276" w:lineRule="auto"/>
              <w:rPr>
                <w:rFonts w:ascii="Arial" w:eastAsiaTheme="minorHAnsi" w:hAnsi="Arial" w:cs="Arial"/>
                <w:szCs w:val="24"/>
                <w:lang w:eastAsia="en-US"/>
              </w:rPr>
            </w:pPr>
            <w:r w:rsidRPr="00A4552E">
              <w:rPr>
                <w:rFonts w:ascii="Arial" w:eastAsiaTheme="minorHAnsi" w:hAnsi="Arial" w:cs="Arial"/>
                <w:szCs w:val="24"/>
                <w:lang w:eastAsia="en-US"/>
              </w:rPr>
              <w:t>3</w:t>
            </w:r>
            <w:r w:rsidR="00437EC4">
              <w:rPr>
                <w:rFonts w:ascii="Arial" w:eastAsiaTheme="minorHAnsi" w:hAnsi="Arial" w:cs="Arial"/>
                <w:szCs w:val="24"/>
                <w:lang w:eastAsia="en-US"/>
              </w:rPr>
              <w:t>6</w:t>
            </w:r>
            <w:r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437EC4" w:rsidP="00A4552E">
            <w:pPr>
              <w:spacing w:after="200" w:line="276" w:lineRule="auto"/>
              <w:rPr>
                <w:rFonts w:ascii="Arial" w:eastAsiaTheme="minorHAnsi" w:hAnsi="Arial" w:cs="Arial"/>
                <w:szCs w:val="24"/>
                <w:lang w:eastAsia="en-US"/>
              </w:rPr>
            </w:pPr>
            <w:r>
              <w:rPr>
                <w:rFonts w:ascii="Arial" w:eastAsiaTheme="minorHAnsi" w:hAnsi="Arial" w:cs="Arial"/>
                <w:szCs w:val="24"/>
                <w:lang w:eastAsia="en-US"/>
              </w:rPr>
              <w:t>64</w:t>
            </w:r>
            <w:r w:rsidR="00A4552E"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E02F69">
            <w:pPr>
              <w:spacing w:after="200"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Includes all High Life Highland employees whose standard hourly rate places them below the median pay in the 2</w:t>
            </w:r>
            <w:r w:rsidRPr="00A4552E">
              <w:rPr>
                <w:rFonts w:ascii="Arial" w:eastAsiaTheme="minorHAnsi" w:hAnsi="Arial" w:cs="Arial"/>
                <w:szCs w:val="24"/>
                <w:vertAlign w:val="superscript"/>
                <w:lang w:eastAsia="en-US"/>
              </w:rPr>
              <w:t>nd</w:t>
            </w:r>
            <w:r w:rsidRPr="00A4552E">
              <w:rPr>
                <w:rFonts w:ascii="Arial" w:eastAsiaTheme="minorHAnsi" w:hAnsi="Arial" w:cs="Arial"/>
                <w:szCs w:val="24"/>
                <w:lang w:eastAsia="en-US"/>
              </w:rPr>
              <w:t xml:space="preserve"> pay quartile. </w:t>
            </w:r>
          </w:p>
        </w:tc>
      </w:tr>
      <w:tr w:rsidR="00A4552E" w:rsidRPr="00A4552E" w:rsidTr="005621D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szCs w:val="24"/>
                <w:lang w:eastAsia="en-US"/>
              </w:rPr>
            </w:pPr>
            <w:r w:rsidRPr="00A4552E">
              <w:rPr>
                <w:rFonts w:ascii="Arial" w:eastAsiaTheme="minorHAnsi" w:hAnsi="Arial" w:cs="Arial"/>
                <w:szCs w:val="24"/>
                <w:lang w:eastAsia="en-US"/>
              </w:rPr>
              <w:t>3</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437EC4" w:rsidP="00A4552E">
            <w:pPr>
              <w:spacing w:after="200" w:line="276" w:lineRule="auto"/>
              <w:rPr>
                <w:rFonts w:ascii="Arial" w:eastAsiaTheme="minorHAnsi" w:hAnsi="Arial" w:cs="Arial"/>
                <w:szCs w:val="24"/>
                <w:lang w:eastAsia="en-US"/>
              </w:rPr>
            </w:pPr>
            <w:r>
              <w:rPr>
                <w:rFonts w:ascii="Arial" w:eastAsiaTheme="minorHAnsi" w:hAnsi="Arial" w:cs="Arial"/>
                <w:szCs w:val="24"/>
                <w:lang w:eastAsia="en-US"/>
              </w:rPr>
              <w:t>36</w:t>
            </w:r>
            <w:r w:rsidR="00A4552E"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437EC4" w:rsidP="00A4552E">
            <w:pPr>
              <w:spacing w:after="200" w:line="276" w:lineRule="auto"/>
              <w:rPr>
                <w:rFonts w:ascii="Arial" w:eastAsiaTheme="minorHAnsi" w:hAnsi="Arial" w:cs="Arial"/>
                <w:szCs w:val="24"/>
                <w:lang w:eastAsia="en-US"/>
              </w:rPr>
            </w:pPr>
            <w:r>
              <w:rPr>
                <w:rFonts w:ascii="Arial" w:eastAsiaTheme="minorHAnsi" w:hAnsi="Arial" w:cs="Arial"/>
                <w:szCs w:val="24"/>
                <w:lang w:eastAsia="en-US"/>
              </w:rPr>
              <w:t>64</w:t>
            </w:r>
            <w:r w:rsidR="00A4552E"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E02F69">
            <w:pPr>
              <w:spacing w:after="200"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Includes all High Life Highland employees whose standard hourly rate places them above the median pay in the 3</w:t>
            </w:r>
            <w:r w:rsidRPr="00A4552E">
              <w:rPr>
                <w:rFonts w:ascii="Arial" w:eastAsiaTheme="minorHAnsi" w:hAnsi="Arial" w:cs="Arial"/>
                <w:szCs w:val="24"/>
                <w:vertAlign w:val="superscript"/>
                <w:lang w:eastAsia="en-US"/>
              </w:rPr>
              <w:t>rd</w:t>
            </w:r>
            <w:r w:rsidRPr="00A4552E">
              <w:rPr>
                <w:rFonts w:ascii="Arial" w:eastAsiaTheme="minorHAnsi" w:hAnsi="Arial" w:cs="Arial"/>
                <w:szCs w:val="24"/>
                <w:lang w:eastAsia="en-US"/>
              </w:rPr>
              <w:t xml:space="preserve"> pay quartile.</w:t>
            </w:r>
          </w:p>
        </w:tc>
      </w:tr>
      <w:tr w:rsidR="00A4552E" w:rsidRPr="00A4552E" w:rsidTr="005621D6">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A4552E">
            <w:pPr>
              <w:spacing w:after="200" w:line="276" w:lineRule="auto"/>
              <w:rPr>
                <w:rFonts w:ascii="Arial" w:eastAsiaTheme="minorHAnsi" w:hAnsi="Arial" w:cs="Arial"/>
                <w:szCs w:val="24"/>
                <w:lang w:eastAsia="en-US"/>
              </w:rPr>
            </w:pPr>
            <w:r w:rsidRPr="00A4552E">
              <w:rPr>
                <w:rFonts w:ascii="Arial" w:eastAsiaTheme="minorHAnsi" w:hAnsi="Arial" w:cs="Arial"/>
                <w:szCs w:val="24"/>
                <w:lang w:eastAsia="en-US"/>
              </w:rPr>
              <w:t>4</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437EC4" w:rsidP="00A4552E">
            <w:pPr>
              <w:spacing w:after="200" w:line="276" w:lineRule="auto"/>
              <w:rPr>
                <w:rFonts w:ascii="Arial" w:eastAsiaTheme="minorHAnsi" w:hAnsi="Arial" w:cs="Arial"/>
                <w:szCs w:val="24"/>
                <w:lang w:eastAsia="en-US"/>
              </w:rPr>
            </w:pPr>
            <w:r>
              <w:rPr>
                <w:rFonts w:ascii="Arial" w:eastAsiaTheme="minorHAnsi" w:hAnsi="Arial" w:cs="Arial"/>
                <w:szCs w:val="24"/>
                <w:lang w:eastAsia="en-US"/>
              </w:rPr>
              <w:t>40</w:t>
            </w:r>
            <w:r w:rsidR="00A4552E"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437EC4">
            <w:pPr>
              <w:spacing w:after="200" w:line="276" w:lineRule="auto"/>
              <w:rPr>
                <w:rFonts w:ascii="Arial" w:eastAsiaTheme="minorHAnsi" w:hAnsi="Arial" w:cs="Arial"/>
                <w:szCs w:val="24"/>
                <w:lang w:eastAsia="en-US"/>
              </w:rPr>
            </w:pPr>
            <w:r w:rsidRPr="00A4552E">
              <w:rPr>
                <w:rFonts w:ascii="Arial" w:eastAsiaTheme="minorHAnsi" w:hAnsi="Arial" w:cs="Arial"/>
                <w:szCs w:val="24"/>
                <w:lang w:eastAsia="en-US"/>
              </w:rPr>
              <w:t>6</w:t>
            </w:r>
            <w:r w:rsidR="00437EC4">
              <w:rPr>
                <w:rFonts w:ascii="Arial" w:eastAsiaTheme="minorHAnsi" w:hAnsi="Arial" w:cs="Arial"/>
                <w:szCs w:val="24"/>
                <w:lang w:eastAsia="en-US"/>
              </w:rPr>
              <w:t>0</w:t>
            </w:r>
            <w:r w:rsidRPr="00A4552E">
              <w:rPr>
                <w:rFonts w:ascii="Arial" w:eastAsiaTheme="minorHAnsi" w:hAnsi="Arial" w:cs="Arial"/>
                <w:szCs w:val="24"/>
                <w:lang w:eastAsia="en-US"/>
              </w:rPr>
              <w:t>%</w:t>
            </w:r>
          </w:p>
        </w:tc>
        <w:tc>
          <w:tcPr>
            <w:tcW w:w="0" w:type="auto"/>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rsidR="00A4552E" w:rsidRPr="00A4552E" w:rsidRDefault="00A4552E" w:rsidP="00E02F69">
            <w:pPr>
              <w:spacing w:after="200"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Includes all High Life Highland employees whose standard hourly rate places them in the 4</w:t>
            </w:r>
            <w:r w:rsidRPr="00A4552E">
              <w:rPr>
                <w:rFonts w:ascii="Arial" w:eastAsiaTheme="minorHAnsi" w:hAnsi="Arial" w:cs="Arial"/>
                <w:szCs w:val="24"/>
                <w:vertAlign w:val="superscript"/>
                <w:lang w:eastAsia="en-US"/>
              </w:rPr>
              <w:t>th</w:t>
            </w:r>
            <w:r w:rsidRPr="00A4552E">
              <w:rPr>
                <w:rFonts w:ascii="Arial" w:eastAsiaTheme="minorHAnsi" w:hAnsi="Arial" w:cs="Arial"/>
                <w:szCs w:val="24"/>
                <w:lang w:eastAsia="en-US"/>
              </w:rPr>
              <w:t xml:space="preserve"> and therefore highest pay quartile.</w:t>
            </w:r>
          </w:p>
        </w:tc>
      </w:tr>
    </w:tbl>
    <w:p w:rsidR="00A4552E" w:rsidRPr="00A4552E" w:rsidRDefault="00A4552E" w:rsidP="005F649D">
      <w:pPr>
        <w:numPr>
          <w:ilvl w:val="0"/>
          <w:numId w:val="3"/>
        </w:numPr>
        <w:spacing w:before="192" w:after="192" w:line="276" w:lineRule="auto"/>
        <w:jc w:val="both"/>
        <w:rPr>
          <w:rFonts w:ascii="Arial" w:hAnsi="Arial" w:cs="Arial"/>
          <w:szCs w:val="24"/>
          <w:lang w:val="en"/>
        </w:rPr>
      </w:pPr>
      <w:r w:rsidRPr="00A4552E">
        <w:rPr>
          <w:rFonts w:ascii="Arial" w:hAnsi="Arial" w:cs="Arial"/>
          <w:szCs w:val="24"/>
          <w:lang w:val="en"/>
        </w:rPr>
        <w:t xml:space="preserve">The table above sets out the gender distribution at High Life Highland across four equally sized quartiles, each containing </w:t>
      </w:r>
      <w:r w:rsidR="00987868">
        <w:rPr>
          <w:rFonts w:ascii="Arial" w:hAnsi="Arial" w:cs="Arial"/>
          <w:szCs w:val="24"/>
          <w:lang w:val="en"/>
        </w:rPr>
        <w:t xml:space="preserve">as follows Q1 </w:t>
      </w:r>
      <w:r w:rsidRPr="00A4552E">
        <w:rPr>
          <w:rFonts w:ascii="Arial" w:hAnsi="Arial" w:cs="Arial"/>
          <w:szCs w:val="24"/>
          <w:lang w:val="en"/>
        </w:rPr>
        <w:t>2</w:t>
      </w:r>
      <w:r w:rsidR="00437EC4">
        <w:rPr>
          <w:rFonts w:ascii="Arial" w:hAnsi="Arial" w:cs="Arial"/>
          <w:szCs w:val="24"/>
          <w:lang w:val="en"/>
        </w:rPr>
        <w:t>43</w:t>
      </w:r>
      <w:r w:rsidRPr="00A4552E">
        <w:rPr>
          <w:rFonts w:ascii="Arial" w:hAnsi="Arial" w:cs="Arial"/>
          <w:szCs w:val="24"/>
          <w:lang w:val="en"/>
        </w:rPr>
        <w:t xml:space="preserve"> employees</w:t>
      </w:r>
      <w:r w:rsidR="00987868">
        <w:rPr>
          <w:rFonts w:ascii="Arial" w:hAnsi="Arial" w:cs="Arial"/>
          <w:szCs w:val="24"/>
          <w:lang w:val="en"/>
        </w:rPr>
        <w:t>; Q2 242 employees; Q3 242 employees; Q4 243 emp</w:t>
      </w:r>
      <w:r w:rsidR="005F649D">
        <w:rPr>
          <w:rFonts w:ascii="Arial" w:hAnsi="Arial" w:cs="Arial"/>
          <w:szCs w:val="24"/>
          <w:lang w:val="en"/>
        </w:rPr>
        <w:t>l</w:t>
      </w:r>
      <w:r w:rsidR="00987868">
        <w:rPr>
          <w:rFonts w:ascii="Arial" w:hAnsi="Arial" w:cs="Arial"/>
          <w:szCs w:val="24"/>
          <w:lang w:val="en"/>
        </w:rPr>
        <w:t>oyees</w:t>
      </w:r>
      <w:r w:rsidRPr="00A4552E">
        <w:rPr>
          <w:rFonts w:ascii="Arial" w:hAnsi="Arial" w:cs="Arial"/>
          <w:szCs w:val="24"/>
          <w:lang w:val="en"/>
        </w:rPr>
        <w:t>.</w:t>
      </w:r>
    </w:p>
    <w:p w:rsidR="00A4552E" w:rsidRPr="00A4552E" w:rsidRDefault="00A4552E" w:rsidP="005F649D">
      <w:pPr>
        <w:numPr>
          <w:ilvl w:val="0"/>
          <w:numId w:val="3"/>
        </w:numPr>
        <w:spacing w:before="192" w:after="192" w:line="276" w:lineRule="auto"/>
        <w:jc w:val="both"/>
        <w:rPr>
          <w:rFonts w:ascii="Arial" w:hAnsi="Arial" w:cs="Arial"/>
          <w:szCs w:val="24"/>
          <w:lang w:val="en"/>
        </w:rPr>
      </w:pPr>
      <w:r w:rsidRPr="00A4552E">
        <w:rPr>
          <w:rFonts w:ascii="Arial" w:hAnsi="Arial" w:cs="Arial"/>
          <w:szCs w:val="24"/>
          <w:lang w:val="en"/>
        </w:rPr>
        <w:t>With an overall split of 34% male to 66% female within High Life Highland each quartile shows a gender distribution which very closely matches this overall ratio.</w:t>
      </w:r>
    </w:p>
    <w:p w:rsidR="00A4552E" w:rsidRPr="00A4552E" w:rsidRDefault="00A4552E" w:rsidP="00A4552E">
      <w:pPr>
        <w:spacing w:line="276" w:lineRule="auto"/>
        <w:rPr>
          <w:rFonts w:ascii="Arial" w:eastAsiaTheme="minorHAnsi" w:hAnsi="Arial" w:cs="Arial"/>
          <w:szCs w:val="24"/>
          <w:lang w:eastAsia="en-US"/>
        </w:rPr>
      </w:pPr>
    </w:p>
    <w:p w:rsidR="00A4552E" w:rsidRPr="00A4552E" w:rsidRDefault="00A4552E" w:rsidP="00E02F69">
      <w:pPr>
        <w:spacing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 xml:space="preserve">High Life Highland is committed to the promotion of equality of opportunity in its employment practices.  It </w:t>
      </w:r>
      <w:r w:rsidRPr="00A4552E">
        <w:rPr>
          <w:rFonts w:ascii="Arial" w:eastAsiaTheme="minorHAnsi" w:hAnsi="Arial" w:cs="Arial"/>
          <w:color w:val="000000"/>
          <w:szCs w:val="24"/>
          <w:lang w:eastAsia="en-US"/>
        </w:rPr>
        <w:t>is committed to offering roles on flexible working patterns, with a range of options such as part-time working, alternative working hours, home working and shared parental leave.</w:t>
      </w:r>
    </w:p>
    <w:p w:rsidR="00A4552E" w:rsidRPr="00A4552E" w:rsidRDefault="00A4552E" w:rsidP="00E02F69">
      <w:pPr>
        <w:spacing w:line="276" w:lineRule="auto"/>
        <w:jc w:val="both"/>
        <w:rPr>
          <w:rFonts w:ascii="Arial" w:eastAsiaTheme="minorHAnsi" w:hAnsi="Arial" w:cs="Arial"/>
          <w:szCs w:val="24"/>
          <w:lang w:eastAsia="en-US"/>
        </w:rPr>
      </w:pPr>
    </w:p>
    <w:p w:rsidR="00A4552E" w:rsidRPr="00A4552E" w:rsidRDefault="00A4552E" w:rsidP="00E02F69">
      <w:pPr>
        <w:spacing w:line="276" w:lineRule="auto"/>
        <w:jc w:val="both"/>
        <w:rPr>
          <w:rFonts w:ascii="Arial" w:eastAsiaTheme="minorHAnsi" w:hAnsi="Arial" w:cs="Arial"/>
          <w:szCs w:val="24"/>
          <w:lang w:eastAsia="en-US"/>
        </w:rPr>
      </w:pPr>
      <w:r w:rsidRPr="00A4552E">
        <w:rPr>
          <w:rFonts w:ascii="Arial" w:eastAsiaTheme="minorHAnsi" w:hAnsi="Arial" w:cs="Arial"/>
          <w:szCs w:val="24"/>
          <w:lang w:eastAsia="en-US"/>
        </w:rPr>
        <w:t xml:space="preserve">The Charity’s Equal Opportunities policy states that it intends that no job applicant or employee shall receive less favourable treatment because of sex, marital or family status, age, ethnic origin, disability, race, colour, nationality, religion, belief, sexual orientation, gender reassignment or any other </w:t>
      </w:r>
      <w:proofErr w:type="spellStart"/>
      <w:r w:rsidRPr="00A4552E">
        <w:rPr>
          <w:rFonts w:ascii="Arial" w:eastAsiaTheme="minorHAnsi" w:hAnsi="Arial" w:cs="Arial"/>
          <w:szCs w:val="24"/>
          <w:lang w:eastAsia="en-US"/>
        </w:rPr>
        <w:t>non job</w:t>
      </w:r>
      <w:proofErr w:type="spellEnd"/>
      <w:r w:rsidRPr="00A4552E">
        <w:rPr>
          <w:rFonts w:ascii="Arial" w:eastAsiaTheme="minorHAnsi" w:hAnsi="Arial" w:cs="Arial"/>
          <w:szCs w:val="24"/>
          <w:lang w:eastAsia="en-US"/>
        </w:rPr>
        <w:t xml:space="preserve"> related factor.  </w:t>
      </w:r>
    </w:p>
    <w:p w:rsidR="00A4552E" w:rsidRPr="00A4552E" w:rsidRDefault="00A4552E" w:rsidP="00A4552E">
      <w:pPr>
        <w:spacing w:line="276" w:lineRule="auto"/>
        <w:rPr>
          <w:rFonts w:ascii="Arial" w:eastAsiaTheme="minorHAnsi" w:hAnsi="Arial" w:cs="Arial"/>
          <w:szCs w:val="24"/>
          <w:lang w:eastAsia="en-US"/>
        </w:rPr>
      </w:pPr>
    </w:p>
    <w:p w:rsidR="00A4552E" w:rsidRPr="00A4552E" w:rsidRDefault="00A4552E" w:rsidP="00E02F69">
      <w:pPr>
        <w:spacing w:line="276" w:lineRule="auto"/>
        <w:jc w:val="both"/>
        <w:rPr>
          <w:rFonts w:ascii="Arial" w:eastAsiaTheme="minorHAnsi" w:hAnsi="Arial" w:cs="Arial"/>
          <w:szCs w:val="24"/>
          <w:lang w:val="en" w:eastAsia="en-US"/>
        </w:rPr>
      </w:pPr>
      <w:r w:rsidRPr="00A4552E">
        <w:rPr>
          <w:rFonts w:ascii="Arial" w:eastAsiaTheme="minorHAnsi" w:hAnsi="Arial" w:cs="Arial"/>
          <w:szCs w:val="24"/>
          <w:lang w:eastAsia="en-US"/>
        </w:rPr>
        <w:t xml:space="preserve">High Life Highland is also confident that males and females are paid the same rate </w:t>
      </w:r>
      <w:r w:rsidRPr="00A4552E">
        <w:rPr>
          <w:rFonts w:ascii="Arial" w:eastAsiaTheme="minorHAnsi" w:hAnsi="Arial" w:cs="Arial"/>
          <w:szCs w:val="24"/>
          <w:lang w:val="en" w:eastAsia="en-US"/>
        </w:rPr>
        <w:t xml:space="preserve">for the job regardless of gender (or any other difference).  Employees are remunerated </w:t>
      </w:r>
      <w:r w:rsidRPr="00A4552E">
        <w:rPr>
          <w:rFonts w:ascii="Arial" w:eastAsiaTheme="minorHAnsi" w:hAnsi="Arial" w:cs="Arial"/>
          <w:szCs w:val="24"/>
          <w:lang w:val="en" w:eastAsia="en-US"/>
        </w:rPr>
        <w:lastRenderedPageBreak/>
        <w:t xml:space="preserve">according to set pay scales and terms and conditions which are negotiated nationally, through The Highland Council, by the Scottish Joint Council for Local Government Employees. </w:t>
      </w:r>
    </w:p>
    <w:p w:rsidR="00A4552E" w:rsidRPr="00A4552E" w:rsidRDefault="00A4552E" w:rsidP="00E02F69">
      <w:pPr>
        <w:shd w:val="clear" w:color="auto" w:fill="FFFFFF"/>
        <w:spacing w:before="100" w:beforeAutospacing="1" w:after="180" w:line="276" w:lineRule="auto"/>
        <w:jc w:val="both"/>
        <w:rPr>
          <w:rFonts w:ascii="Arial" w:hAnsi="Arial" w:cs="Arial"/>
          <w:szCs w:val="24"/>
        </w:rPr>
      </w:pPr>
      <w:r w:rsidRPr="00A4552E">
        <w:rPr>
          <w:rFonts w:ascii="Arial" w:hAnsi="Arial" w:cs="Arial"/>
          <w:szCs w:val="24"/>
        </w:rPr>
        <w:t xml:space="preserve">High Life Highland’s gender pay gap compares favourably to national statistics but it is committed to monitoring and reducing the gap wherever possible, whilst also recognising that it has no direct control over the gender of applicants for particular job types or an individual’s career choices. </w:t>
      </w:r>
    </w:p>
    <w:p w:rsidR="00A4552E" w:rsidRPr="00A4552E" w:rsidRDefault="00A4552E" w:rsidP="00E02F69">
      <w:pPr>
        <w:shd w:val="clear" w:color="auto" w:fill="FFFFFF"/>
        <w:spacing w:before="100" w:beforeAutospacing="1" w:after="180" w:line="276" w:lineRule="auto"/>
        <w:jc w:val="both"/>
        <w:rPr>
          <w:rFonts w:ascii="Arial" w:hAnsi="Arial" w:cs="Arial"/>
          <w:szCs w:val="24"/>
        </w:rPr>
      </w:pPr>
      <w:r w:rsidRPr="00A4552E">
        <w:rPr>
          <w:rFonts w:ascii="Arial" w:hAnsi="Arial" w:cs="Arial"/>
          <w:szCs w:val="24"/>
        </w:rPr>
        <w:t>I confirm the data reported is accurate.</w:t>
      </w:r>
    </w:p>
    <w:p w:rsidR="001430EA" w:rsidRDefault="001430EA" w:rsidP="00A4552E">
      <w:pPr>
        <w:shd w:val="clear" w:color="auto" w:fill="FFFFFF"/>
        <w:spacing w:line="276" w:lineRule="auto"/>
        <w:rPr>
          <w:rFonts w:ascii="Arial" w:hAnsi="Arial" w:cs="Arial"/>
          <w:szCs w:val="24"/>
        </w:rPr>
      </w:pPr>
    </w:p>
    <w:p w:rsidR="001430EA" w:rsidRDefault="001430EA" w:rsidP="00A4552E">
      <w:pPr>
        <w:shd w:val="clear" w:color="auto" w:fill="FFFFFF"/>
        <w:spacing w:line="276" w:lineRule="auto"/>
        <w:rPr>
          <w:rFonts w:ascii="Arial" w:hAnsi="Arial" w:cs="Arial"/>
          <w:szCs w:val="24"/>
        </w:rPr>
      </w:pPr>
    </w:p>
    <w:p w:rsidR="00A4552E" w:rsidRPr="00A4552E" w:rsidRDefault="00A4552E" w:rsidP="00A4552E">
      <w:pPr>
        <w:shd w:val="clear" w:color="auto" w:fill="FFFFFF"/>
        <w:spacing w:line="276" w:lineRule="auto"/>
        <w:rPr>
          <w:rFonts w:ascii="Arial" w:hAnsi="Arial" w:cs="Arial"/>
          <w:szCs w:val="24"/>
        </w:rPr>
      </w:pPr>
      <w:r w:rsidRPr="00A4552E">
        <w:rPr>
          <w:rFonts w:ascii="Arial" w:hAnsi="Arial" w:cs="Arial"/>
          <w:szCs w:val="24"/>
        </w:rPr>
        <w:t>Ian Murray</w:t>
      </w:r>
    </w:p>
    <w:p w:rsidR="00A4552E" w:rsidRPr="00A4552E" w:rsidRDefault="00A4552E" w:rsidP="00A4552E">
      <w:pPr>
        <w:shd w:val="clear" w:color="auto" w:fill="FFFFFF"/>
        <w:spacing w:line="276" w:lineRule="auto"/>
        <w:rPr>
          <w:rFonts w:ascii="Arial" w:hAnsi="Arial" w:cs="Arial"/>
          <w:szCs w:val="24"/>
        </w:rPr>
      </w:pPr>
      <w:r w:rsidRPr="00A4552E">
        <w:rPr>
          <w:rFonts w:ascii="Arial" w:hAnsi="Arial" w:cs="Arial"/>
          <w:szCs w:val="24"/>
        </w:rPr>
        <w:t>Chief Executive</w:t>
      </w: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szCs w:val="24"/>
        </w:rPr>
      </w:pPr>
    </w:p>
    <w:p w:rsidR="00741805" w:rsidRDefault="00741805" w:rsidP="00743F49">
      <w:pPr>
        <w:shd w:val="clear" w:color="auto" w:fill="FFFFFF"/>
        <w:spacing w:line="276" w:lineRule="auto"/>
        <w:rPr>
          <w:rFonts w:ascii="Arial" w:hAnsi="Arial" w:cs="Arial"/>
          <w:b/>
          <w:szCs w:val="24"/>
        </w:rPr>
      </w:pPr>
    </w:p>
    <w:sectPr w:rsidR="00741805" w:rsidSect="00A74875">
      <w:pgSz w:w="11906" w:h="16838" w:code="9"/>
      <w:pgMar w:top="1418" w:right="1134" w:bottom="99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B73" w:rsidRDefault="00233B73">
      <w:r>
        <w:separator/>
      </w:r>
    </w:p>
  </w:endnote>
  <w:endnote w:type="continuationSeparator" w:id="0">
    <w:p w:rsidR="00233B73" w:rsidRDefault="0023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B73" w:rsidRDefault="00233B73">
      <w:r>
        <w:separator/>
      </w:r>
    </w:p>
  </w:footnote>
  <w:footnote w:type="continuationSeparator" w:id="0">
    <w:p w:rsidR="00233B73" w:rsidRDefault="0023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67F41"/>
    <w:multiLevelType w:val="hybridMultilevel"/>
    <w:tmpl w:val="B41E90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1B4974"/>
    <w:multiLevelType w:val="hybridMultilevel"/>
    <w:tmpl w:val="B41E90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9F2A60"/>
    <w:multiLevelType w:val="hybridMultilevel"/>
    <w:tmpl w:val="B41E90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3B79A4"/>
    <w:multiLevelType w:val="hybridMultilevel"/>
    <w:tmpl w:val="B41E90C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FC615C"/>
    <w:multiLevelType w:val="hybridMultilevel"/>
    <w:tmpl w:val="42E4B69E"/>
    <w:lvl w:ilvl="0" w:tplc="536A9512">
      <w:start w:val="1"/>
      <w:numFmt w:val="bullet"/>
      <w:lvlText w:val=""/>
      <w:lvlJc w:val="left"/>
      <w:pPr>
        <w:ind w:left="720" w:hanging="360"/>
      </w:pPr>
      <w:rPr>
        <w:rFonts w:ascii="Symbol" w:hAnsi="Symbol" w:hint="default"/>
        <w:sz w:val="24"/>
        <w:szCs w:val="24"/>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CC4A71"/>
    <w:multiLevelType w:val="hybridMultilevel"/>
    <w:tmpl w:val="1C56542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7787736"/>
    <w:multiLevelType w:val="hybridMultilevel"/>
    <w:tmpl w:val="1846A1E4"/>
    <w:lvl w:ilvl="0" w:tplc="56660C6E">
      <w:start w:val="1"/>
      <w:numFmt w:val="decimal"/>
      <w:lvlText w:val="%1."/>
      <w:lvlJc w:val="left"/>
      <w:pPr>
        <w:ind w:left="819" w:hanging="360"/>
      </w:pPr>
      <w:rPr>
        <w:rFonts w:hint="default"/>
      </w:r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7" w15:restartNumberingAfterBreak="0">
    <w:nsid w:val="787275B1"/>
    <w:multiLevelType w:val="hybridMultilevel"/>
    <w:tmpl w:val="B506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50A"/>
    <w:rsid w:val="00001809"/>
    <w:rsid w:val="00016F99"/>
    <w:rsid w:val="000215E4"/>
    <w:rsid w:val="00021CE0"/>
    <w:rsid w:val="00024D53"/>
    <w:rsid w:val="0004193C"/>
    <w:rsid w:val="000476B1"/>
    <w:rsid w:val="00054DE1"/>
    <w:rsid w:val="000636A7"/>
    <w:rsid w:val="00070D41"/>
    <w:rsid w:val="000728FC"/>
    <w:rsid w:val="0007476C"/>
    <w:rsid w:val="00083A4A"/>
    <w:rsid w:val="0009405C"/>
    <w:rsid w:val="000A439E"/>
    <w:rsid w:val="000D07C8"/>
    <w:rsid w:val="000D1BF9"/>
    <w:rsid w:val="000D5F4B"/>
    <w:rsid w:val="000E3CD9"/>
    <w:rsid w:val="000E58C3"/>
    <w:rsid w:val="000E61AD"/>
    <w:rsid w:val="000E7598"/>
    <w:rsid w:val="000F274B"/>
    <w:rsid w:val="000F3262"/>
    <w:rsid w:val="000F4BA8"/>
    <w:rsid w:val="000F6071"/>
    <w:rsid w:val="000F60FF"/>
    <w:rsid w:val="000F73D7"/>
    <w:rsid w:val="001006F2"/>
    <w:rsid w:val="00104560"/>
    <w:rsid w:val="001072B4"/>
    <w:rsid w:val="00110848"/>
    <w:rsid w:val="0011241D"/>
    <w:rsid w:val="0011285F"/>
    <w:rsid w:val="00113417"/>
    <w:rsid w:val="00115FE9"/>
    <w:rsid w:val="001164D3"/>
    <w:rsid w:val="00117BE1"/>
    <w:rsid w:val="0012639B"/>
    <w:rsid w:val="00133583"/>
    <w:rsid w:val="0013365A"/>
    <w:rsid w:val="0013408B"/>
    <w:rsid w:val="001369E0"/>
    <w:rsid w:val="00137AF1"/>
    <w:rsid w:val="001430EA"/>
    <w:rsid w:val="001466B4"/>
    <w:rsid w:val="00150971"/>
    <w:rsid w:val="00152E9B"/>
    <w:rsid w:val="00153846"/>
    <w:rsid w:val="00155012"/>
    <w:rsid w:val="001614BD"/>
    <w:rsid w:val="00164BEF"/>
    <w:rsid w:val="00171187"/>
    <w:rsid w:val="0017201B"/>
    <w:rsid w:val="00182352"/>
    <w:rsid w:val="001837F1"/>
    <w:rsid w:val="001928FC"/>
    <w:rsid w:val="001A1DB8"/>
    <w:rsid w:val="001A23E7"/>
    <w:rsid w:val="001A3E51"/>
    <w:rsid w:val="001A4F23"/>
    <w:rsid w:val="001A53B7"/>
    <w:rsid w:val="001A5A41"/>
    <w:rsid w:val="001A5E2D"/>
    <w:rsid w:val="001A606D"/>
    <w:rsid w:val="001A6B3B"/>
    <w:rsid w:val="001B0DAB"/>
    <w:rsid w:val="001B0EB4"/>
    <w:rsid w:val="001C1870"/>
    <w:rsid w:val="001C35E6"/>
    <w:rsid w:val="001C3C83"/>
    <w:rsid w:val="001C4C1C"/>
    <w:rsid w:val="001C6970"/>
    <w:rsid w:val="001D1D38"/>
    <w:rsid w:val="001D7D2E"/>
    <w:rsid w:val="001E05B1"/>
    <w:rsid w:val="001E26B3"/>
    <w:rsid w:val="001E693B"/>
    <w:rsid w:val="001F1DE0"/>
    <w:rsid w:val="001F57B6"/>
    <w:rsid w:val="002020AB"/>
    <w:rsid w:val="00204269"/>
    <w:rsid w:val="0021249D"/>
    <w:rsid w:val="002127F3"/>
    <w:rsid w:val="0021581E"/>
    <w:rsid w:val="002162FE"/>
    <w:rsid w:val="002173BA"/>
    <w:rsid w:val="00217D31"/>
    <w:rsid w:val="002214C9"/>
    <w:rsid w:val="0022283B"/>
    <w:rsid w:val="00222E5F"/>
    <w:rsid w:val="00225D0F"/>
    <w:rsid w:val="002304E3"/>
    <w:rsid w:val="00231A35"/>
    <w:rsid w:val="00233B73"/>
    <w:rsid w:val="00244D9F"/>
    <w:rsid w:val="00246A3C"/>
    <w:rsid w:val="00247B57"/>
    <w:rsid w:val="002504A2"/>
    <w:rsid w:val="00250E04"/>
    <w:rsid w:val="00250F92"/>
    <w:rsid w:val="00252F00"/>
    <w:rsid w:val="00253ABA"/>
    <w:rsid w:val="00253ABD"/>
    <w:rsid w:val="002637DF"/>
    <w:rsid w:val="00265473"/>
    <w:rsid w:val="00266059"/>
    <w:rsid w:val="00281200"/>
    <w:rsid w:val="0029010C"/>
    <w:rsid w:val="00293D5D"/>
    <w:rsid w:val="002A09C0"/>
    <w:rsid w:val="002A668D"/>
    <w:rsid w:val="002B2232"/>
    <w:rsid w:val="002B236B"/>
    <w:rsid w:val="002B7DC4"/>
    <w:rsid w:val="002C7B3D"/>
    <w:rsid w:val="002E3D92"/>
    <w:rsid w:val="00307175"/>
    <w:rsid w:val="003118A0"/>
    <w:rsid w:val="003164BC"/>
    <w:rsid w:val="00316E2E"/>
    <w:rsid w:val="00324BD2"/>
    <w:rsid w:val="003309D7"/>
    <w:rsid w:val="003318D6"/>
    <w:rsid w:val="00335223"/>
    <w:rsid w:val="00335450"/>
    <w:rsid w:val="003365D1"/>
    <w:rsid w:val="003410F0"/>
    <w:rsid w:val="00343275"/>
    <w:rsid w:val="00345D83"/>
    <w:rsid w:val="00353815"/>
    <w:rsid w:val="00356ADA"/>
    <w:rsid w:val="0035707D"/>
    <w:rsid w:val="00357B55"/>
    <w:rsid w:val="0036440C"/>
    <w:rsid w:val="00365E55"/>
    <w:rsid w:val="00370823"/>
    <w:rsid w:val="00372950"/>
    <w:rsid w:val="00373018"/>
    <w:rsid w:val="003750BE"/>
    <w:rsid w:val="00381EFE"/>
    <w:rsid w:val="00384DBD"/>
    <w:rsid w:val="00386356"/>
    <w:rsid w:val="003863FC"/>
    <w:rsid w:val="00387B72"/>
    <w:rsid w:val="00387E56"/>
    <w:rsid w:val="00390583"/>
    <w:rsid w:val="0039450A"/>
    <w:rsid w:val="00396BC1"/>
    <w:rsid w:val="003979DB"/>
    <w:rsid w:val="003A15D7"/>
    <w:rsid w:val="003B3C34"/>
    <w:rsid w:val="003C5C1F"/>
    <w:rsid w:val="003D507E"/>
    <w:rsid w:val="003D7DB0"/>
    <w:rsid w:val="003E104E"/>
    <w:rsid w:val="003F00CF"/>
    <w:rsid w:val="003F386F"/>
    <w:rsid w:val="004074AB"/>
    <w:rsid w:val="00410580"/>
    <w:rsid w:val="00415EF1"/>
    <w:rsid w:val="00416BFF"/>
    <w:rsid w:val="00425F23"/>
    <w:rsid w:val="00427110"/>
    <w:rsid w:val="00427536"/>
    <w:rsid w:val="00437EC4"/>
    <w:rsid w:val="00444F6A"/>
    <w:rsid w:val="004466A5"/>
    <w:rsid w:val="00450BB1"/>
    <w:rsid w:val="00451872"/>
    <w:rsid w:val="00452A2D"/>
    <w:rsid w:val="00463D59"/>
    <w:rsid w:val="004669E9"/>
    <w:rsid w:val="0047717A"/>
    <w:rsid w:val="0047759F"/>
    <w:rsid w:val="004A0988"/>
    <w:rsid w:val="004A54B5"/>
    <w:rsid w:val="004B5F87"/>
    <w:rsid w:val="004C368F"/>
    <w:rsid w:val="004D7398"/>
    <w:rsid w:val="004E0DCC"/>
    <w:rsid w:val="004E1E29"/>
    <w:rsid w:val="004E20BC"/>
    <w:rsid w:val="004F68C4"/>
    <w:rsid w:val="004F7B55"/>
    <w:rsid w:val="00502EA6"/>
    <w:rsid w:val="005067C1"/>
    <w:rsid w:val="00513508"/>
    <w:rsid w:val="0052022D"/>
    <w:rsid w:val="00533A22"/>
    <w:rsid w:val="00534269"/>
    <w:rsid w:val="00536098"/>
    <w:rsid w:val="005404BD"/>
    <w:rsid w:val="00540A58"/>
    <w:rsid w:val="00552439"/>
    <w:rsid w:val="005532C6"/>
    <w:rsid w:val="00555522"/>
    <w:rsid w:val="00555E30"/>
    <w:rsid w:val="00555EA9"/>
    <w:rsid w:val="005723D9"/>
    <w:rsid w:val="00575E83"/>
    <w:rsid w:val="00581B1E"/>
    <w:rsid w:val="00582AFB"/>
    <w:rsid w:val="00590449"/>
    <w:rsid w:val="0059426B"/>
    <w:rsid w:val="005A5DBA"/>
    <w:rsid w:val="005B1FBD"/>
    <w:rsid w:val="005B6925"/>
    <w:rsid w:val="005B74E1"/>
    <w:rsid w:val="005C444D"/>
    <w:rsid w:val="005D21C9"/>
    <w:rsid w:val="005D2719"/>
    <w:rsid w:val="005D40C3"/>
    <w:rsid w:val="005E16BA"/>
    <w:rsid w:val="005E23D5"/>
    <w:rsid w:val="005E2828"/>
    <w:rsid w:val="005E397F"/>
    <w:rsid w:val="005E3A09"/>
    <w:rsid w:val="005F2E96"/>
    <w:rsid w:val="005F649D"/>
    <w:rsid w:val="005F66B8"/>
    <w:rsid w:val="005F7A6F"/>
    <w:rsid w:val="00603E26"/>
    <w:rsid w:val="0061226A"/>
    <w:rsid w:val="00612494"/>
    <w:rsid w:val="006148EE"/>
    <w:rsid w:val="00631A61"/>
    <w:rsid w:val="006362B1"/>
    <w:rsid w:val="00646786"/>
    <w:rsid w:val="006605B7"/>
    <w:rsid w:val="00666C59"/>
    <w:rsid w:val="00680931"/>
    <w:rsid w:val="006852AD"/>
    <w:rsid w:val="00686AE0"/>
    <w:rsid w:val="00690E7C"/>
    <w:rsid w:val="00693FC7"/>
    <w:rsid w:val="006A32A4"/>
    <w:rsid w:val="006A4031"/>
    <w:rsid w:val="006A6EF2"/>
    <w:rsid w:val="006B0E6E"/>
    <w:rsid w:val="006B2C43"/>
    <w:rsid w:val="006B35FC"/>
    <w:rsid w:val="006C6225"/>
    <w:rsid w:val="006C6C17"/>
    <w:rsid w:val="006D6A29"/>
    <w:rsid w:val="006D70E8"/>
    <w:rsid w:val="006E3970"/>
    <w:rsid w:val="006E5CF8"/>
    <w:rsid w:val="006F0461"/>
    <w:rsid w:val="006F0B03"/>
    <w:rsid w:val="006F36AB"/>
    <w:rsid w:val="00707C87"/>
    <w:rsid w:val="0071055C"/>
    <w:rsid w:val="00710A3A"/>
    <w:rsid w:val="00711E48"/>
    <w:rsid w:val="00716326"/>
    <w:rsid w:val="007214D1"/>
    <w:rsid w:val="00734A86"/>
    <w:rsid w:val="00741805"/>
    <w:rsid w:val="0074360E"/>
    <w:rsid w:val="00743A87"/>
    <w:rsid w:val="00743F49"/>
    <w:rsid w:val="00744438"/>
    <w:rsid w:val="00746BE5"/>
    <w:rsid w:val="00747F63"/>
    <w:rsid w:val="00753065"/>
    <w:rsid w:val="007566DB"/>
    <w:rsid w:val="00763DAE"/>
    <w:rsid w:val="00766194"/>
    <w:rsid w:val="00770BB5"/>
    <w:rsid w:val="007739C3"/>
    <w:rsid w:val="00774A53"/>
    <w:rsid w:val="00775876"/>
    <w:rsid w:val="00777B03"/>
    <w:rsid w:val="00781DDE"/>
    <w:rsid w:val="0078559F"/>
    <w:rsid w:val="007861C8"/>
    <w:rsid w:val="00794115"/>
    <w:rsid w:val="0079570B"/>
    <w:rsid w:val="007A4029"/>
    <w:rsid w:val="007A5031"/>
    <w:rsid w:val="007B364C"/>
    <w:rsid w:val="007B422B"/>
    <w:rsid w:val="007B7259"/>
    <w:rsid w:val="007B7D68"/>
    <w:rsid w:val="007C2756"/>
    <w:rsid w:val="007C6DE0"/>
    <w:rsid w:val="007C7477"/>
    <w:rsid w:val="007D2826"/>
    <w:rsid w:val="007D5628"/>
    <w:rsid w:val="007D7D07"/>
    <w:rsid w:val="007E12BB"/>
    <w:rsid w:val="007E1AA1"/>
    <w:rsid w:val="007E2FF5"/>
    <w:rsid w:val="007E41E2"/>
    <w:rsid w:val="007E4A48"/>
    <w:rsid w:val="007E5082"/>
    <w:rsid w:val="007E7012"/>
    <w:rsid w:val="007E7E29"/>
    <w:rsid w:val="007F0D2D"/>
    <w:rsid w:val="007F3BFB"/>
    <w:rsid w:val="007F3E0F"/>
    <w:rsid w:val="007F3F14"/>
    <w:rsid w:val="007F7BCB"/>
    <w:rsid w:val="0080022C"/>
    <w:rsid w:val="00804240"/>
    <w:rsid w:val="00825BCB"/>
    <w:rsid w:val="00825FD9"/>
    <w:rsid w:val="0083424A"/>
    <w:rsid w:val="00834D42"/>
    <w:rsid w:val="00836A56"/>
    <w:rsid w:val="00846D7B"/>
    <w:rsid w:val="008516A0"/>
    <w:rsid w:val="0085209F"/>
    <w:rsid w:val="008531FC"/>
    <w:rsid w:val="0085560B"/>
    <w:rsid w:val="008559E8"/>
    <w:rsid w:val="00861A5D"/>
    <w:rsid w:val="0086281F"/>
    <w:rsid w:val="00863E10"/>
    <w:rsid w:val="008701CE"/>
    <w:rsid w:val="00884964"/>
    <w:rsid w:val="00885F26"/>
    <w:rsid w:val="00886AA1"/>
    <w:rsid w:val="0088717D"/>
    <w:rsid w:val="008A0E4A"/>
    <w:rsid w:val="008A1F14"/>
    <w:rsid w:val="008B770E"/>
    <w:rsid w:val="008C318E"/>
    <w:rsid w:val="008C504D"/>
    <w:rsid w:val="008C7F3A"/>
    <w:rsid w:val="008D2CFA"/>
    <w:rsid w:val="008D60CC"/>
    <w:rsid w:val="008D6B2C"/>
    <w:rsid w:val="008D6EE0"/>
    <w:rsid w:val="008E077F"/>
    <w:rsid w:val="008E0DCD"/>
    <w:rsid w:val="008E24C9"/>
    <w:rsid w:val="00913010"/>
    <w:rsid w:val="009165A5"/>
    <w:rsid w:val="009362D1"/>
    <w:rsid w:val="00936EDE"/>
    <w:rsid w:val="00943129"/>
    <w:rsid w:val="00943CCF"/>
    <w:rsid w:val="00946A15"/>
    <w:rsid w:val="00952B22"/>
    <w:rsid w:val="00956AA6"/>
    <w:rsid w:val="0096194E"/>
    <w:rsid w:val="009621AC"/>
    <w:rsid w:val="00967DA2"/>
    <w:rsid w:val="00977C04"/>
    <w:rsid w:val="00977F07"/>
    <w:rsid w:val="0098231B"/>
    <w:rsid w:val="00983695"/>
    <w:rsid w:val="009871B4"/>
    <w:rsid w:val="00987868"/>
    <w:rsid w:val="00994720"/>
    <w:rsid w:val="009951C5"/>
    <w:rsid w:val="009959DA"/>
    <w:rsid w:val="009A34E8"/>
    <w:rsid w:val="009A3F45"/>
    <w:rsid w:val="009A7E1E"/>
    <w:rsid w:val="009B21B6"/>
    <w:rsid w:val="009B3A8E"/>
    <w:rsid w:val="009B41FD"/>
    <w:rsid w:val="009B50DC"/>
    <w:rsid w:val="009B7797"/>
    <w:rsid w:val="009C5475"/>
    <w:rsid w:val="009C73FC"/>
    <w:rsid w:val="009D7C6A"/>
    <w:rsid w:val="009F4D19"/>
    <w:rsid w:val="009F60B5"/>
    <w:rsid w:val="00A01E5D"/>
    <w:rsid w:val="00A11704"/>
    <w:rsid w:val="00A15F04"/>
    <w:rsid w:val="00A17632"/>
    <w:rsid w:val="00A252F9"/>
    <w:rsid w:val="00A4552E"/>
    <w:rsid w:val="00A47A09"/>
    <w:rsid w:val="00A504A9"/>
    <w:rsid w:val="00A54120"/>
    <w:rsid w:val="00A65BBE"/>
    <w:rsid w:val="00A65E77"/>
    <w:rsid w:val="00A72644"/>
    <w:rsid w:val="00A74875"/>
    <w:rsid w:val="00A8132C"/>
    <w:rsid w:val="00A8159A"/>
    <w:rsid w:val="00A83E0F"/>
    <w:rsid w:val="00A86077"/>
    <w:rsid w:val="00A8622C"/>
    <w:rsid w:val="00A9057A"/>
    <w:rsid w:val="00A9784A"/>
    <w:rsid w:val="00A97882"/>
    <w:rsid w:val="00AA2832"/>
    <w:rsid w:val="00AB2E5F"/>
    <w:rsid w:val="00AC5132"/>
    <w:rsid w:val="00AC51A3"/>
    <w:rsid w:val="00AC6E80"/>
    <w:rsid w:val="00AD0D67"/>
    <w:rsid w:val="00AF2029"/>
    <w:rsid w:val="00AF702F"/>
    <w:rsid w:val="00B0173F"/>
    <w:rsid w:val="00B1309F"/>
    <w:rsid w:val="00B136F8"/>
    <w:rsid w:val="00B15FEE"/>
    <w:rsid w:val="00B21421"/>
    <w:rsid w:val="00B23F97"/>
    <w:rsid w:val="00B2481B"/>
    <w:rsid w:val="00B25C9F"/>
    <w:rsid w:val="00B33E09"/>
    <w:rsid w:val="00B34DC1"/>
    <w:rsid w:val="00B4511E"/>
    <w:rsid w:val="00B5151C"/>
    <w:rsid w:val="00B56CDC"/>
    <w:rsid w:val="00B76782"/>
    <w:rsid w:val="00B84929"/>
    <w:rsid w:val="00B8667F"/>
    <w:rsid w:val="00B90B12"/>
    <w:rsid w:val="00B922E0"/>
    <w:rsid w:val="00B96369"/>
    <w:rsid w:val="00B96AED"/>
    <w:rsid w:val="00B96D53"/>
    <w:rsid w:val="00B96E78"/>
    <w:rsid w:val="00BA0A7B"/>
    <w:rsid w:val="00BA1CC1"/>
    <w:rsid w:val="00BA2C93"/>
    <w:rsid w:val="00BB2A8B"/>
    <w:rsid w:val="00BB462B"/>
    <w:rsid w:val="00BB5E69"/>
    <w:rsid w:val="00BB71E3"/>
    <w:rsid w:val="00BC2053"/>
    <w:rsid w:val="00BC311A"/>
    <w:rsid w:val="00BD0119"/>
    <w:rsid w:val="00BD05D4"/>
    <w:rsid w:val="00BD086C"/>
    <w:rsid w:val="00BD7D89"/>
    <w:rsid w:val="00BE0678"/>
    <w:rsid w:val="00BE6D36"/>
    <w:rsid w:val="00BF2FDA"/>
    <w:rsid w:val="00C04068"/>
    <w:rsid w:val="00C10716"/>
    <w:rsid w:val="00C11B76"/>
    <w:rsid w:val="00C24E6B"/>
    <w:rsid w:val="00C254EF"/>
    <w:rsid w:val="00C25C3F"/>
    <w:rsid w:val="00C3172A"/>
    <w:rsid w:val="00C37BE7"/>
    <w:rsid w:val="00C43279"/>
    <w:rsid w:val="00C501A1"/>
    <w:rsid w:val="00C53583"/>
    <w:rsid w:val="00C60F5A"/>
    <w:rsid w:val="00C61C65"/>
    <w:rsid w:val="00C65D0C"/>
    <w:rsid w:val="00C65D2D"/>
    <w:rsid w:val="00C67742"/>
    <w:rsid w:val="00C764BE"/>
    <w:rsid w:val="00C77859"/>
    <w:rsid w:val="00C8005D"/>
    <w:rsid w:val="00C81799"/>
    <w:rsid w:val="00C832CC"/>
    <w:rsid w:val="00C854FA"/>
    <w:rsid w:val="00C85B6C"/>
    <w:rsid w:val="00C90A11"/>
    <w:rsid w:val="00C90CEC"/>
    <w:rsid w:val="00C91EE3"/>
    <w:rsid w:val="00C94443"/>
    <w:rsid w:val="00C94CD2"/>
    <w:rsid w:val="00C97FA3"/>
    <w:rsid w:val="00CA280E"/>
    <w:rsid w:val="00CA539B"/>
    <w:rsid w:val="00CA5CEE"/>
    <w:rsid w:val="00CB0AAD"/>
    <w:rsid w:val="00CB11BF"/>
    <w:rsid w:val="00CB3B1B"/>
    <w:rsid w:val="00CC2010"/>
    <w:rsid w:val="00CC636A"/>
    <w:rsid w:val="00CD4410"/>
    <w:rsid w:val="00CD684D"/>
    <w:rsid w:val="00CD75A3"/>
    <w:rsid w:val="00CE35B2"/>
    <w:rsid w:val="00CE4BA7"/>
    <w:rsid w:val="00CE5D9A"/>
    <w:rsid w:val="00CF19AE"/>
    <w:rsid w:val="00CF3040"/>
    <w:rsid w:val="00CF6FD4"/>
    <w:rsid w:val="00CF746E"/>
    <w:rsid w:val="00D005F7"/>
    <w:rsid w:val="00D0289B"/>
    <w:rsid w:val="00D04E3B"/>
    <w:rsid w:val="00D1003C"/>
    <w:rsid w:val="00D22375"/>
    <w:rsid w:val="00D24D32"/>
    <w:rsid w:val="00D267DA"/>
    <w:rsid w:val="00D273A9"/>
    <w:rsid w:val="00D32134"/>
    <w:rsid w:val="00D445E5"/>
    <w:rsid w:val="00D57CDF"/>
    <w:rsid w:val="00D6075B"/>
    <w:rsid w:val="00D61AE0"/>
    <w:rsid w:val="00D62C0B"/>
    <w:rsid w:val="00D64017"/>
    <w:rsid w:val="00D66538"/>
    <w:rsid w:val="00D764CB"/>
    <w:rsid w:val="00D76BCA"/>
    <w:rsid w:val="00D770EF"/>
    <w:rsid w:val="00D83AD1"/>
    <w:rsid w:val="00D84A0B"/>
    <w:rsid w:val="00D85217"/>
    <w:rsid w:val="00D87459"/>
    <w:rsid w:val="00D9403E"/>
    <w:rsid w:val="00D97DF1"/>
    <w:rsid w:val="00DA0419"/>
    <w:rsid w:val="00DB3601"/>
    <w:rsid w:val="00DB75DA"/>
    <w:rsid w:val="00DC12E3"/>
    <w:rsid w:val="00DC2768"/>
    <w:rsid w:val="00DC2C8B"/>
    <w:rsid w:val="00DD335B"/>
    <w:rsid w:val="00DE14AA"/>
    <w:rsid w:val="00DE1F9D"/>
    <w:rsid w:val="00DE65AF"/>
    <w:rsid w:val="00DF0350"/>
    <w:rsid w:val="00DF7207"/>
    <w:rsid w:val="00DF753F"/>
    <w:rsid w:val="00E00110"/>
    <w:rsid w:val="00E02F69"/>
    <w:rsid w:val="00E078E9"/>
    <w:rsid w:val="00E141A9"/>
    <w:rsid w:val="00E15145"/>
    <w:rsid w:val="00E16079"/>
    <w:rsid w:val="00E27168"/>
    <w:rsid w:val="00E324FE"/>
    <w:rsid w:val="00E35A53"/>
    <w:rsid w:val="00E37EB7"/>
    <w:rsid w:val="00E46840"/>
    <w:rsid w:val="00E51E27"/>
    <w:rsid w:val="00E52B9B"/>
    <w:rsid w:val="00E56E40"/>
    <w:rsid w:val="00E619D2"/>
    <w:rsid w:val="00E62611"/>
    <w:rsid w:val="00E62C1F"/>
    <w:rsid w:val="00E65F7E"/>
    <w:rsid w:val="00E66F0E"/>
    <w:rsid w:val="00E71D63"/>
    <w:rsid w:val="00E755B5"/>
    <w:rsid w:val="00E758FD"/>
    <w:rsid w:val="00E75B01"/>
    <w:rsid w:val="00E777BB"/>
    <w:rsid w:val="00E81CF1"/>
    <w:rsid w:val="00E873F9"/>
    <w:rsid w:val="00E936F4"/>
    <w:rsid w:val="00EA3E05"/>
    <w:rsid w:val="00EA4770"/>
    <w:rsid w:val="00EA4853"/>
    <w:rsid w:val="00EB09B2"/>
    <w:rsid w:val="00EB0FDD"/>
    <w:rsid w:val="00EB2386"/>
    <w:rsid w:val="00EB23B2"/>
    <w:rsid w:val="00EB2A77"/>
    <w:rsid w:val="00EC0D3B"/>
    <w:rsid w:val="00EC4C1E"/>
    <w:rsid w:val="00EC5D21"/>
    <w:rsid w:val="00EC60F4"/>
    <w:rsid w:val="00ED7102"/>
    <w:rsid w:val="00EE0CC7"/>
    <w:rsid w:val="00EE2784"/>
    <w:rsid w:val="00EE3547"/>
    <w:rsid w:val="00EE5B69"/>
    <w:rsid w:val="00EE7B4E"/>
    <w:rsid w:val="00EE7F73"/>
    <w:rsid w:val="00EF1F16"/>
    <w:rsid w:val="00EF42F5"/>
    <w:rsid w:val="00EF4892"/>
    <w:rsid w:val="00EF6091"/>
    <w:rsid w:val="00EF60CF"/>
    <w:rsid w:val="00F011CD"/>
    <w:rsid w:val="00F023D8"/>
    <w:rsid w:val="00F04127"/>
    <w:rsid w:val="00F1210E"/>
    <w:rsid w:val="00F15675"/>
    <w:rsid w:val="00F15DF0"/>
    <w:rsid w:val="00F1795A"/>
    <w:rsid w:val="00F27DF8"/>
    <w:rsid w:val="00F352A7"/>
    <w:rsid w:val="00F41B64"/>
    <w:rsid w:val="00F420D0"/>
    <w:rsid w:val="00F469F0"/>
    <w:rsid w:val="00F50B0C"/>
    <w:rsid w:val="00F52671"/>
    <w:rsid w:val="00F56BA2"/>
    <w:rsid w:val="00F578BF"/>
    <w:rsid w:val="00F6479D"/>
    <w:rsid w:val="00F66650"/>
    <w:rsid w:val="00F90004"/>
    <w:rsid w:val="00FA4126"/>
    <w:rsid w:val="00FA7100"/>
    <w:rsid w:val="00FA7828"/>
    <w:rsid w:val="00FB00D0"/>
    <w:rsid w:val="00FB11C6"/>
    <w:rsid w:val="00FB2139"/>
    <w:rsid w:val="00FB2915"/>
    <w:rsid w:val="00FB3B90"/>
    <w:rsid w:val="00FB4E8E"/>
    <w:rsid w:val="00FC2A42"/>
    <w:rsid w:val="00FC564A"/>
    <w:rsid w:val="00FC7125"/>
    <w:rsid w:val="00FD3B15"/>
    <w:rsid w:val="00FE0CEC"/>
    <w:rsid w:val="00FE4D79"/>
    <w:rsid w:val="00FE6D47"/>
    <w:rsid w:val="00FF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20C6B"/>
  <w15:docId w15:val="{40B46D93-9953-456A-90DB-0401F5144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5223"/>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both"/>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Footer">
    <w:name w:val="footer"/>
    <w:basedOn w:val="Normal"/>
    <w:pPr>
      <w:tabs>
        <w:tab w:val="center" w:pos="4153"/>
        <w:tab w:val="right" w:pos="8306"/>
      </w:tabs>
    </w:pPr>
  </w:style>
  <w:style w:type="paragraph" w:styleId="Header">
    <w:name w:val="header"/>
    <w:basedOn w:val="Normal"/>
    <w:rsid w:val="0039450A"/>
    <w:pPr>
      <w:tabs>
        <w:tab w:val="center" w:pos="4153"/>
        <w:tab w:val="right" w:pos="8306"/>
      </w:tabs>
    </w:pPr>
  </w:style>
  <w:style w:type="paragraph" w:styleId="ListParagraph">
    <w:name w:val="List Paragraph"/>
    <w:basedOn w:val="Normal"/>
    <w:uiPriority w:val="34"/>
    <w:qFormat/>
    <w:rsid w:val="00EF1F16"/>
    <w:pPr>
      <w:ind w:left="720"/>
    </w:pPr>
  </w:style>
  <w:style w:type="paragraph" w:styleId="BalloonText">
    <w:name w:val="Balloon Text"/>
    <w:basedOn w:val="Normal"/>
    <w:link w:val="BalloonTextChar"/>
    <w:uiPriority w:val="99"/>
    <w:semiHidden/>
    <w:unhideWhenUsed/>
    <w:rsid w:val="0009405C"/>
    <w:rPr>
      <w:rFonts w:ascii="Tahoma" w:hAnsi="Tahoma" w:cs="Tahoma"/>
      <w:sz w:val="16"/>
      <w:szCs w:val="16"/>
    </w:rPr>
  </w:style>
  <w:style w:type="character" w:customStyle="1" w:styleId="BalloonTextChar">
    <w:name w:val="Balloon Text Char"/>
    <w:link w:val="BalloonText"/>
    <w:uiPriority w:val="99"/>
    <w:semiHidden/>
    <w:rsid w:val="0009405C"/>
    <w:rPr>
      <w:rFonts w:ascii="Tahoma" w:hAnsi="Tahoma" w:cs="Tahoma"/>
      <w:sz w:val="16"/>
      <w:szCs w:val="16"/>
    </w:rPr>
  </w:style>
  <w:style w:type="table" w:styleId="TableGrid">
    <w:name w:val="Table Grid"/>
    <w:basedOn w:val="TableNormal"/>
    <w:uiPriority w:val="59"/>
    <w:rsid w:val="007F0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5E55"/>
    <w:rPr>
      <w:color w:val="0000FF"/>
      <w:u w:val="single"/>
    </w:rPr>
  </w:style>
  <w:style w:type="character" w:styleId="FollowedHyperlink">
    <w:name w:val="FollowedHyperlink"/>
    <w:uiPriority w:val="99"/>
    <w:semiHidden/>
    <w:unhideWhenUsed/>
    <w:rsid w:val="00365E55"/>
    <w:rPr>
      <w:color w:val="800080"/>
      <w:u w:val="single"/>
    </w:rPr>
  </w:style>
  <w:style w:type="paragraph" w:customStyle="1" w:styleId="xl65">
    <w:name w:val="xl65"/>
    <w:basedOn w:val="Normal"/>
    <w:rsid w:val="00365E55"/>
    <w:pPr>
      <w:spacing w:before="100" w:beforeAutospacing="1" w:after="100" w:afterAutospacing="1"/>
    </w:pPr>
    <w:rPr>
      <w:rFonts w:ascii="Arial" w:hAnsi="Arial" w:cs="Arial"/>
      <w:sz w:val="16"/>
      <w:szCs w:val="16"/>
    </w:rPr>
  </w:style>
  <w:style w:type="paragraph" w:customStyle="1" w:styleId="xl66">
    <w:name w:val="xl66"/>
    <w:basedOn w:val="Normal"/>
    <w:rsid w:val="00365E55"/>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6"/>
      <w:szCs w:val="16"/>
    </w:rPr>
  </w:style>
  <w:style w:type="paragraph" w:customStyle="1" w:styleId="xl67">
    <w:name w:val="xl67"/>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68">
    <w:name w:val="xl68"/>
    <w:basedOn w:val="Normal"/>
    <w:rsid w:val="00365E55"/>
    <w:pPr>
      <w:pBdr>
        <w:top w:val="single" w:sz="4" w:space="0" w:color="000000"/>
      </w:pBdr>
      <w:spacing w:before="100" w:beforeAutospacing="1" w:after="100" w:afterAutospacing="1"/>
    </w:pPr>
    <w:rPr>
      <w:sz w:val="16"/>
      <w:szCs w:val="16"/>
    </w:rPr>
  </w:style>
  <w:style w:type="paragraph" w:customStyle="1" w:styleId="xl69">
    <w:name w:val="xl69"/>
    <w:basedOn w:val="Normal"/>
    <w:rsid w:val="00365E55"/>
    <w:pPr>
      <w:pBdr>
        <w:top w:val="single" w:sz="4" w:space="0" w:color="000000"/>
      </w:pBdr>
      <w:spacing w:before="100" w:beforeAutospacing="1" w:after="100" w:afterAutospacing="1"/>
    </w:pPr>
    <w:rPr>
      <w:sz w:val="16"/>
      <w:szCs w:val="16"/>
    </w:rPr>
  </w:style>
  <w:style w:type="paragraph" w:customStyle="1" w:styleId="xl70">
    <w:name w:val="xl70"/>
    <w:basedOn w:val="Normal"/>
    <w:rsid w:val="00365E55"/>
    <w:pPr>
      <w:pBdr>
        <w:top w:val="single" w:sz="4" w:space="0" w:color="000000"/>
        <w:right w:val="single" w:sz="4" w:space="0" w:color="000000"/>
      </w:pBdr>
      <w:spacing w:before="100" w:beforeAutospacing="1" w:after="100" w:afterAutospacing="1"/>
    </w:pPr>
    <w:rPr>
      <w:sz w:val="16"/>
      <w:szCs w:val="16"/>
    </w:rPr>
  </w:style>
  <w:style w:type="paragraph" w:customStyle="1" w:styleId="xl71">
    <w:name w:val="xl71"/>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72">
    <w:name w:val="xl72"/>
    <w:basedOn w:val="Normal"/>
    <w:rsid w:val="00365E55"/>
    <w:pPr>
      <w:pBdr>
        <w:top w:val="single" w:sz="4" w:space="0" w:color="000000"/>
      </w:pBdr>
      <w:spacing w:before="100" w:beforeAutospacing="1" w:after="100" w:afterAutospacing="1"/>
    </w:pPr>
    <w:rPr>
      <w:sz w:val="16"/>
      <w:szCs w:val="16"/>
    </w:rPr>
  </w:style>
  <w:style w:type="paragraph" w:customStyle="1" w:styleId="xl73">
    <w:name w:val="xl73"/>
    <w:basedOn w:val="Normal"/>
    <w:rsid w:val="00365E55"/>
    <w:pPr>
      <w:pBdr>
        <w:top w:val="single" w:sz="4" w:space="0" w:color="000000"/>
        <w:left w:val="single" w:sz="4" w:space="0" w:color="000000"/>
        <w:right w:val="single" w:sz="4" w:space="0" w:color="000000"/>
      </w:pBdr>
      <w:spacing w:before="100" w:beforeAutospacing="1" w:after="100" w:afterAutospacing="1"/>
    </w:pPr>
    <w:rPr>
      <w:sz w:val="16"/>
      <w:szCs w:val="16"/>
    </w:rPr>
  </w:style>
  <w:style w:type="paragraph" w:customStyle="1" w:styleId="xl74">
    <w:name w:val="xl74"/>
    <w:basedOn w:val="Normal"/>
    <w:rsid w:val="00365E55"/>
    <w:pPr>
      <w:pBdr>
        <w:top w:val="single" w:sz="4" w:space="0" w:color="000000"/>
        <w:left w:val="single" w:sz="4" w:space="0" w:color="000000"/>
      </w:pBdr>
      <w:spacing w:before="100" w:beforeAutospacing="1" w:after="100" w:afterAutospacing="1"/>
    </w:pPr>
    <w:rPr>
      <w:sz w:val="16"/>
      <w:szCs w:val="16"/>
    </w:rPr>
  </w:style>
  <w:style w:type="paragraph" w:customStyle="1" w:styleId="xl75">
    <w:name w:val="xl75"/>
    <w:basedOn w:val="Normal"/>
    <w:rsid w:val="00365E55"/>
    <w:pPr>
      <w:pBdr>
        <w:top w:val="single" w:sz="4" w:space="0" w:color="000000"/>
      </w:pBdr>
      <w:spacing w:before="100" w:beforeAutospacing="1" w:after="100" w:afterAutospacing="1"/>
    </w:pPr>
    <w:rPr>
      <w:sz w:val="16"/>
      <w:szCs w:val="16"/>
    </w:rPr>
  </w:style>
  <w:style w:type="paragraph" w:customStyle="1" w:styleId="xl76">
    <w:name w:val="xl76"/>
    <w:basedOn w:val="Normal"/>
    <w:rsid w:val="00365E55"/>
    <w:pPr>
      <w:pBdr>
        <w:top w:val="single" w:sz="4" w:space="0" w:color="000000"/>
        <w:left w:val="single" w:sz="4" w:space="0" w:color="000000"/>
        <w:right w:val="single" w:sz="4" w:space="0" w:color="000000"/>
      </w:pBdr>
      <w:spacing w:before="100" w:beforeAutospacing="1" w:after="100" w:afterAutospacing="1"/>
    </w:pPr>
    <w:rPr>
      <w:sz w:val="16"/>
      <w:szCs w:val="16"/>
    </w:rPr>
  </w:style>
  <w:style w:type="paragraph" w:customStyle="1" w:styleId="xl77">
    <w:name w:val="xl77"/>
    <w:basedOn w:val="Normal"/>
    <w:rsid w:val="00365E55"/>
    <w:pPr>
      <w:pBdr>
        <w:left w:val="single" w:sz="4" w:space="0" w:color="000000"/>
      </w:pBdr>
      <w:spacing w:before="100" w:beforeAutospacing="1" w:after="100" w:afterAutospacing="1"/>
    </w:pPr>
    <w:rPr>
      <w:sz w:val="16"/>
      <w:szCs w:val="16"/>
    </w:rPr>
  </w:style>
  <w:style w:type="paragraph" w:customStyle="1" w:styleId="xl78">
    <w:name w:val="xl78"/>
    <w:basedOn w:val="Normal"/>
    <w:rsid w:val="00365E55"/>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79">
    <w:name w:val="xl79"/>
    <w:basedOn w:val="Normal"/>
    <w:rsid w:val="00365E55"/>
    <w:pPr>
      <w:pBdr>
        <w:top w:val="single" w:sz="4" w:space="0" w:color="000000"/>
        <w:bottom w:val="single" w:sz="4" w:space="0" w:color="000000"/>
      </w:pBdr>
      <w:spacing w:before="100" w:beforeAutospacing="1" w:after="100" w:afterAutospacing="1"/>
    </w:pPr>
    <w:rPr>
      <w:sz w:val="16"/>
      <w:szCs w:val="16"/>
    </w:rPr>
  </w:style>
  <w:style w:type="paragraph" w:customStyle="1" w:styleId="xl80">
    <w:name w:val="xl80"/>
    <w:basedOn w:val="Normal"/>
    <w:rsid w:val="00365E55"/>
    <w:pPr>
      <w:pBdr>
        <w:top w:val="single" w:sz="4" w:space="0" w:color="000000"/>
        <w:left w:val="single" w:sz="4" w:space="0" w:color="000000"/>
        <w:bottom w:val="single" w:sz="4" w:space="0" w:color="000000"/>
      </w:pBdr>
      <w:spacing w:before="100" w:beforeAutospacing="1" w:after="100" w:afterAutospacing="1"/>
    </w:pPr>
    <w:rPr>
      <w:sz w:val="16"/>
      <w:szCs w:val="16"/>
    </w:rPr>
  </w:style>
  <w:style w:type="paragraph" w:customStyle="1" w:styleId="xl81">
    <w:name w:val="xl81"/>
    <w:basedOn w:val="Normal"/>
    <w:rsid w:val="00365E55"/>
    <w:pPr>
      <w:pBdr>
        <w:top w:val="single" w:sz="4" w:space="0" w:color="000000"/>
        <w:bottom w:val="single" w:sz="4" w:space="0" w:color="000000"/>
      </w:pBdr>
      <w:spacing w:before="100" w:beforeAutospacing="1" w:after="100" w:afterAutospacing="1"/>
    </w:pPr>
    <w:rPr>
      <w:sz w:val="16"/>
      <w:szCs w:val="16"/>
    </w:rPr>
  </w:style>
  <w:style w:type="paragraph" w:customStyle="1" w:styleId="xl82">
    <w:name w:val="xl82"/>
    <w:basedOn w:val="Normal"/>
    <w:rsid w:val="00365E55"/>
    <w:pPr>
      <w:pBdr>
        <w:top w:val="single" w:sz="4" w:space="0" w:color="000000"/>
        <w:left w:val="single" w:sz="4" w:space="0" w:color="000000"/>
        <w:bottom w:val="single" w:sz="4" w:space="0" w:color="000000"/>
        <w:right w:val="single" w:sz="4" w:space="0" w:color="000000"/>
      </w:pBdr>
      <w:spacing w:before="100" w:beforeAutospacing="1" w:after="100" w:afterAutospacing="1"/>
    </w:pPr>
    <w:rPr>
      <w:sz w:val="16"/>
      <w:szCs w:val="16"/>
    </w:rPr>
  </w:style>
  <w:style w:type="paragraph" w:styleId="NormalWeb">
    <w:name w:val="Normal (Web)"/>
    <w:basedOn w:val="Normal"/>
    <w:uiPriority w:val="99"/>
    <w:semiHidden/>
    <w:unhideWhenUsed/>
    <w:rsid w:val="00FA4126"/>
    <w:pPr>
      <w:spacing w:before="100" w:beforeAutospacing="1" w:after="100" w:afterAutospacing="1"/>
    </w:pPr>
    <w:rPr>
      <w:szCs w:val="24"/>
    </w:rPr>
  </w:style>
  <w:style w:type="table" w:customStyle="1" w:styleId="TableGrid1">
    <w:name w:val="Table Grid1"/>
    <w:basedOn w:val="TableNormal"/>
    <w:next w:val="TableGrid"/>
    <w:uiPriority w:val="59"/>
    <w:rsid w:val="00A65B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0BB5"/>
    <w:rPr>
      <w:sz w:val="16"/>
      <w:szCs w:val="16"/>
    </w:rPr>
  </w:style>
  <w:style w:type="paragraph" w:styleId="CommentText">
    <w:name w:val="annotation text"/>
    <w:basedOn w:val="Normal"/>
    <w:link w:val="CommentTextChar"/>
    <w:uiPriority w:val="99"/>
    <w:semiHidden/>
    <w:unhideWhenUsed/>
    <w:rsid w:val="00770BB5"/>
    <w:rPr>
      <w:sz w:val="20"/>
    </w:rPr>
  </w:style>
  <w:style w:type="character" w:customStyle="1" w:styleId="CommentTextChar">
    <w:name w:val="Comment Text Char"/>
    <w:basedOn w:val="DefaultParagraphFont"/>
    <w:link w:val="CommentText"/>
    <w:uiPriority w:val="99"/>
    <w:semiHidden/>
    <w:rsid w:val="00770BB5"/>
  </w:style>
  <w:style w:type="paragraph" w:styleId="CommentSubject">
    <w:name w:val="annotation subject"/>
    <w:basedOn w:val="CommentText"/>
    <w:next w:val="CommentText"/>
    <w:link w:val="CommentSubjectChar"/>
    <w:uiPriority w:val="99"/>
    <w:semiHidden/>
    <w:unhideWhenUsed/>
    <w:rsid w:val="00770BB5"/>
    <w:rPr>
      <w:b/>
      <w:bCs/>
    </w:rPr>
  </w:style>
  <w:style w:type="character" w:customStyle="1" w:styleId="CommentSubjectChar">
    <w:name w:val="Comment Subject Char"/>
    <w:basedOn w:val="CommentTextChar"/>
    <w:link w:val="CommentSubject"/>
    <w:uiPriority w:val="99"/>
    <w:semiHidden/>
    <w:rsid w:val="00770BB5"/>
    <w:rPr>
      <w:b/>
      <w:bCs/>
    </w:rPr>
  </w:style>
  <w:style w:type="table" w:customStyle="1" w:styleId="TableGrid11">
    <w:name w:val="Table Grid11"/>
    <w:basedOn w:val="TableNormal"/>
    <w:next w:val="TableGrid"/>
    <w:uiPriority w:val="59"/>
    <w:rsid w:val="00A455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1391">
      <w:bodyDiv w:val="1"/>
      <w:marLeft w:val="0"/>
      <w:marRight w:val="0"/>
      <w:marTop w:val="0"/>
      <w:marBottom w:val="0"/>
      <w:divBdr>
        <w:top w:val="none" w:sz="0" w:space="0" w:color="auto"/>
        <w:left w:val="none" w:sz="0" w:space="0" w:color="auto"/>
        <w:bottom w:val="none" w:sz="0" w:space="0" w:color="auto"/>
        <w:right w:val="none" w:sz="0" w:space="0" w:color="auto"/>
      </w:divBdr>
    </w:div>
    <w:div w:id="45765671">
      <w:bodyDiv w:val="1"/>
      <w:marLeft w:val="0"/>
      <w:marRight w:val="0"/>
      <w:marTop w:val="0"/>
      <w:marBottom w:val="0"/>
      <w:divBdr>
        <w:top w:val="none" w:sz="0" w:space="0" w:color="auto"/>
        <w:left w:val="none" w:sz="0" w:space="0" w:color="auto"/>
        <w:bottom w:val="none" w:sz="0" w:space="0" w:color="auto"/>
        <w:right w:val="none" w:sz="0" w:space="0" w:color="auto"/>
      </w:divBdr>
    </w:div>
    <w:div w:id="93523094">
      <w:bodyDiv w:val="1"/>
      <w:marLeft w:val="0"/>
      <w:marRight w:val="0"/>
      <w:marTop w:val="0"/>
      <w:marBottom w:val="0"/>
      <w:divBdr>
        <w:top w:val="none" w:sz="0" w:space="0" w:color="auto"/>
        <w:left w:val="none" w:sz="0" w:space="0" w:color="auto"/>
        <w:bottom w:val="none" w:sz="0" w:space="0" w:color="auto"/>
        <w:right w:val="none" w:sz="0" w:space="0" w:color="auto"/>
      </w:divBdr>
    </w:div>
    <w:div w:id="98719088">
      <w:bodyDiv w:val="1"/>
      <w:marLeft w:val="0"/>
      <w:marRight w:val="0"/>
      <w:marTop w:val="0"/>
      <w:marBottom w:val="0"/>
      <w:divBdr>
        <w:top w:val="none" w:sz="0" w:space="0" w:color="auto"/>
        <w:left w:val="none" w:sz="0" w:space="0" w:color="auto"/>
        <w:bottom w:val="none" w:sz="0" w:space="0" w:color="auto"/>
        <w:right w:val="none" w:sz="0" w:space="0" w:color="auto"/>
      </w:divBdr>
    </w:div>
    <w:div w:id="121115373">
      <w:bodyDiv w:val="1"/>
      <w:marLeft w:val="0"/>
      <w:marRight w:val="0"/>
      <w:marTop w:val="0"/>
      <w:marBottom w:val="0"/>
      <w:divBdr>
        <w:top w:val="none" w:sz="0" w:space="0" w:color="auto"/>
        <w:left w:val="none" w:sz="0" w:space="0" w:color="auto"/>
        <w:bottom w:val="none" w:sz="0" w:space="0" w:color="auto"/>
        <w:right w:val="none" w:sz="0" w:space="0" w:color="auto"/>
      </w:divBdr>
    </w:div>
    <w:div w:id="172843444">
      <w:bodyDiv w:val="1"/>
      <w:marLeft w:val="0"/>
      <w:marRight w:val="0"/>
      <w:marTop w:val="0"/>
      <w:marBottom w:val="0"/>
      <w:divBdr>
        <w:top w:val="none" w:sz="0" w:space="0" w:color="auto"/>
        <w:left w:val="none" w:sz="0" w:space="0" w:color="auto"/>
        <w:bottom w:val="none" w:sz="0" w:space="0" w:color="auto"/>
        <w:right w:val="none" w:sz="0" w:space="0" w:color="auto"/>
      </w:divBdr>
    </w:div>
    <w:div w:id="182523081">
      <w:bodyDiv w:val="1"/>
      <w:marLeft w:val="0"/>
      <w:marRight w:val="0"/>
      <w:marTop w:val="0"/>
      <w:marBottom w:val="0"/>
      <w:divBdr>
        <w:top w:val="none" w:sz="0" w:space="0" w:color="auto"/>
        <w:left w:val="none" w:sz="0" w:space="0" w:color="auto"/>
        <w:bottom w:val="none" w:sz="0" w:space="0" w:color="auto"/>
        <w:right w:val="none" w:sz="0" w:space="0" w:color="auto"/>
      </w:divBdr>
    </w:div>
    <w:div w:id="224341077">
      <w:bodyDiv w:val="1"/>
      <w:marLeft w:val="0"/>
      <w:marRight w:val="0"/>
      <w:marTop w:val="0"/>
      <w:marBottom w:val="0"/>
      <w:divBdr>
        <w:top w:val="none" w:sz="0" w:space="0" w:color="auto"/>
        <w:left w:val="none" w:sz="0" w:space="0" w:color="auto"/>
        <w:bottom w:val="none" w:sz="0" w:space="0" w:color="auto"/>
        <w:right w:val="none" w:sz="0" w:space="0" w:color="auto"/>
      </w:divBdr>
    </w:div>
    <w:div w:id="238054130">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7546093">
      <w:bodyDiv w:val="1"/>
      <w:marLeft w:val="0"/>
      <w:marRight w:val="0"/>
      <w:marTop w:val="0"/>
      <w:marBottom w:val="0"/>
      <w:divBdr>
        <w:top w:val="none" w:sz="0" w:space="0" w:color="auto"/>
        <w:left w:val="none" w:sz="0" w:space="0" w:color="auto"/>
        <w:bottom w:val="none" w:sz="0" w:space="0" w:color="auto"/>
        <w:right w:val="none" w:sz="0" w:space="0" w:color="auto"/>
      </w:divBdr>
    </w:div>
    <w:div w:id="291056471">
      <w:bodyDiv w:val="1"/>
      <w:marLeft w:val="0"/>
      <w:marRight w:val="0"/>
      <w:marTop w:val="0"/>
      <w:marBottom w:val="0"/>
      <w:divBdr>
        <w:top w:val="none" w:sz="0" w:space="0" w:color="auto"/>
        <w:left w:val="none" w:sz="0" w:space="0" w:color="auto"/>
        <w:bottom w:val="none" w:sz="0" w:space="0" w:color="auto"/>
        <w:right w:val="none" w:sz="0" w:space="0" w:color="auto"/>
      </w:divBdr>
    </w:div>
    <w:div w:id="306446425">
      <w:bodyDiv w:val="1"/>
      <w:marLeft w:val="0"/>
      <w:marRight w:val="0"/>
      <w:marTop w:val="0"/>
      <w:marBottom w:val="0"/>
      <w:divBdr>
        <w:top w:val="none" w:sz="0" w:space="0" w:color="auto"/>
        <w:left w:val="none" w:sz="0" w:space="0" w:color="auto"/>
        <w:bottom w:val="none" w:sz="0" w:space="0" w:color="auto"/>
        <w:right w:val="none" w:sz="0" w:space="0" w:color="auto"/>
      </w:divBdr>
    </w:div>
    <w:div w:id="312376863">
      <w:bodyDiv w:val="1"/>
      <w:marLeft w:val="0"/>
      <w:marRight w:val="0"/>
      <w:marTop w:val="0"/>
      <w:marBottom w:val="0"/>
      <w:divBdr>
        <w:top w:val="none" w:sz="0" w:space="0" w:color="auto"/>
        <w:left w:val="none" w:sz="0" w:space="0" w:color="auto"/>
        <w:bottom w:val="none" w:sz="0" w:space="0" w:color="auto"/>
        <w:right w:val="none" w:sz="0" w:space="0" w:color="auto"/>
      </w:divBdr>
    </w:div>
    <w:div w:id="349189512">
      <w:bodyDiv w:val="1"/>
      <w:marLeft w:val="0"/>
      <w:marRight w:val="0"/>
      <w:marTop w:val="0"/>
      <w:marBottom w:val="0"/>
      <w:divBdr>
        <w:top w:val="none" w:sz="0" w:space="0" w:color="auto"/>
        <w:left w:val="none" w:sz="0" w:space="0" w:color="auto"/>
        <w:bottom w:val="none" w:sz="0" w:space="0" w:color="auto"/>
        <w:right w:val="none" w:sz="0" w:space="0" w:color="auto"/>
      </w:divBdr>
    </w:div>
    <w:div w:id="356007487">
      <w:bodyDiv w:val="1"/>
      <w:marLeft w:val="0"/>
      <w:marRight w:val="0"/>
      <w:marTop w:val="0"/>
      <w:marBottom w:val="0"/>
      <w:divBdr>
        <w:top w:val="none" w:sz="0" w:space="0" w:color="auto"/>
        <w:left w:val="none" w:sz="0" w:space="0" w:color="auto"/>
        <w:bottom w:val="none" w:sz="0" w:space="0" w:color="auto"/>
        <w:right w:val="none" w:sz="0" w:space="0" w:color="auto"/>
      </w:divBdr>
    </w:div>
    <w:div w:id="356933997">
      <w:bodyDiv w:val="1"/>
      <w:marLeft w:val="0"/>
      <w:marRight w:val="0"/>
      <w:marTop w:val="0"/>
      <w:marBottom w:val="0"/>
      <w:divBdr>
        <w:top w:val="none" w:sz="0" w:space="0" w:color="auto"/>
        <w:left w:val="none" w:sz="0" w:space="0" w:color="auto"/>
        <w:bottom w:val="none" w:sz="0" w:space="0" w:color="auto"/>
        <w:right w:val="none" w:sz="0" w:space="0" w:color="auto"/>
      </w:divBdr>
    </w:div>
    <w:div w:id="422069047">
      <w:bodyDiv w:val="1"/>
      <w:marLeft w:val="0"/>
      <w:marRight w:val="0"/>
      <w:marTop w:val="0"/>
      <w:marBottom w:val="0"/>
      <w:divBdr>
        <w:top w:val="none" w:sz="0" w:space="0" w:color="auto"/>
        <w:left w:val="none" w:sz="0" w:space="0" w:color="auto"/>
        <w:bottom w:val="none" w:sz="0" w:space="0" w:color="auto"/>
        <w:right w:val="none" w:sz="0" w:space="0" w:color="auto"/>
      </w:divBdr>
    </w:div>
    <w:div w:id="422259917">
      <w:bodyDiv w:val="1"/>
      <w:marLeft w:val="0"/>
      <w:marRight w:val="0"/>
      <w:marTop w:val="0"/>
      <w:marBottom w:val="0"/>
      <w:divBdr>
        <w:top w:val="none" w:sz="0" w:space="0" w:color="auto"/>
        <w:left w:val="none" w:sz="0" w:space="0" w:color="auto"/>
        <w:bottom w:val="none" w:sz="0" w:space="0" w:color="auto"/>
        <w:right w:val="none" w:sz="0" w:space="0" w:color="auto"/>
      </w:divBdr>
    </w:div>
    <w:div w:id="472796886">
      <w:bodyDiv w:val="1"/>
      <w:marLeft w:val="0"/>
      <w:marRight w:val="0"/>
      <w:marTop w:val="0"/>
      <w:marBottom w:val="0"/>
      <w:divBdr>
        <w:top w:val="none" w:sz="0" w:space="0" w:color="auto"/>
        <w:left w:val="none" w:sz="0" w:space="0" w:color="auto"/>
        <w:bottom w:val="none" w:sz="0" w:space="0" w:color="auto"/>
        <w:right w:val="none" w:sz="0" w:space="0" w:color="auto"/>
      </w:divBdr>
      <w:divsChild>
        <w:div w:id="1449348529">
          <w:marLeft w:val="0"/>
          <w:marRight w:val="0"/>
          <w:marTop w:val="0"/>
          <w:marBottom w:val="0"/>
          <w:divBdr>
            <w:top w:val="none" w:sz="0" w:space="0" w:color="auto"/>
            <w:left w:val="none" w:sz="0" w:space="0" w:color="auto"/>
            <w:bottom w:val="none" w:sz="0" w:space="0" w:color="auto"/>
            <w:right w:val="none" w:sz="0" w:space="0" w:color="auto"/>
          </w:divBdr>
          <w:divsChild>
            <w:div w:id="1988433503">
              <w:marLeft w:val="0"/>
              <w:marRight w:val="0"/>
              <w:marTop w:val="0"/>
              <w:marBottom w:val="0"/>
              <w:divBdr>
                <w:top w:val="none" w:sz="0" w:space="0" w:color="auto"/>
                <w:left w:val="none" w:sz="0" w:space="0" w:color="auto"/>
                <w:bottom w:val="none" w:sz="0" w:space="0" w:color="auto"/>
                <w:right w:val="none" w:sz="0" w:space="0" w:color="auto"/>
              </w:divBdr>
              <w:divsChild>
                <w:div w:id="773671801">
                  <w:marLeft w:val="0"/>
                  <w:marRight w:val="0"/>
                  <w:marTop w:val="0"/>
                  <w:marBottom w:val="0"/>
                  <w:divBdr>
                    <w:top w:val="none" w:sz="0" w:space="0" w:color="auto"/>
                    <w:left w:val="none" w:sz="0" w:space="0" w:color="auto"/>
                    <w:bottom w:val="none" w:sz="0" w:space="0" w:color="auto"/>
                    <w:right w:val="none" w:sz="0" w:space="0" w:color="auto"/>
                  </w:divBdr>
                  <w:divsChild>
                    <w:div w:id="185801621">
                      <w:marLeft w:val="0"/>
                      <w:marRight w:val="0"/>
                      <w:marTop w:val="0"/>
                      <w:marBottom w:val="0"/>
                      <w:divBdr>
                        <w:top w:val="none" w:sz="0" w:space="0" w:color="auto"/>
                        <w:left w:val="none" w:sz="0" w:space="0" w:color="auto"/>
                        <w:bottom w:val="none" w:sz="0" w:space="0" w:color="auto"/>
                        <w:right w:val="none" w:sz="0" w:space="0" w:color="auto"/>
                      </w:divBdr>
                      <w:divsChild>
                        <w:div w:id="18696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864666">
      <w:bodyDiv w:val="1"/>
      <w:marLeft w:val="0"/>
      <w:marRight w:val="0"/>
      <w:marTop w:val="0"/>
      <w:marBottom w:val="0"/>
      <w:divBdr>
        <w:top w:val="none" w:sz="0" w:space="0" w:color="auto"/>
        <w:left w:val="none" w:sz="0" w:space="0" w:color="auto"/>
        <w:bottom w:val="none" w:sz="0" w:space="0" w:color="auto"/>
        <w:right w:val="none" w:sz="0" w:space="0" w:color="auto"/>
      </w:divBdr>
    </w:div>
    <w:div w:id="512765888">
      <w:bodyDiv w:val="1"/>
      <w:marLeft w:val="0"/>
      <w:marRight w:val="0"/>
      <w:marTop w:val="0"/>
      <w:marBottom w:val="0"/>
      <w:divBdr>
        <w:top w:val="none" w:sz="0" w:space="0" w:color="auto"/>
        <w:left w:val="none" w:sz="0" w:space="0" w:color="auto"/>
        <w:bottom w:val="none" w:sz="0" w:space="0" w:color="auto"/>
        <w:right w:val="none" w:sz="0" w:space="0" w:color="auto"/>
      </w:divBdr>
    </w:div>
    <w:div w:id="538471350">
      <w:bodyDiv w:val="1"/>
      <w:marLeft w:val="0"/>
      <w:marRight w:val="0"/>
      <w:marTop w:val="0"/>
      <w:marBottom w:val="0"/>
      <w:divBdr>
        <w:top w:val="none" w:sz="0" w:space="0" w:color="auto"/>
        <w:left w:val="none" w:sz="0" w:space="0" w:color="auto"/>
        <w:bottom w:val="none" w:sz="0" w:space="0" w:color="auto"/>
        <w:right w:val="none" w:sz="0" w:space="0" w:color="auto"/>
      </w:divBdr>
    </w:div>
    <w:div w:id="575476529">
      <w:bodyDiv w:val="1"/>
      <w:marLeft w:val="0"/>
      <w:marRight w:val="0"/>
      <w:marTop w:val="0"/>
      <w:marBottom w:val="0"/>
      <w:divBdr>
        <w:top w:val="none" w:sz="0" w:space="0" w:color="auto"/>
        <w:left w:val="none" w:sz="0" w:space="0" w:color="auto"/>
        <w:bottom w:val="none" w:sz="0" w:space="0" w:color="auto"/>
        <w:right w:val="none" w:sz="0" w:space="0" w:color="auto"/>
      </w:divBdr>
    </w:div>
    <w:div w:id="581528598">
      <w:bodyDiv w:val="1"/>
      <w:marLeft w:val="0"/>
      <w:marRight w:val="0"/>
      <w:marTop w:val="0"/>
      <w:marBottom w:val="0"/>
      <w:divBdr>
        <w:top w:val="none" w:sz="0" w:space="0" w:color="auto"/>
        <w:left w:val="none" w:sz="0" w:space="0" w:color="auto"/>
        <w:bottom w:val="none" w:sz="0" w:space="0" w:color="auto"/>
        <w:right w:val="none" w:sz="0" w:space="0" w:color="auto"/>
      </w:divBdr>
    </w:div>
    <w:div w:id="613169062">
      <w:bodyDiv w:val="1"/>
      <w:marLeft w:val="0"/>
      <w:marRight w:val="0"/>
      <w:marTop w:val="0"/>
      <w:marBottom w:val="0"/>
      <w:divBdr>
        <w:top w:val="none" w:sz="0" w:space="0" w:color="auto"/>
        <w:left w:val="none" w:sz="0" w:space="0" w:color="auto"/>
        <w:bottom w:val="none" w:sz="0" w:space="0" w:color="auto"/>
        <w:right w:val="none" w:sz="0" w:space="0" w:color="auto"/>
      </w:divBdr>
    </w:div>
    <w:div w:id="771243555">
      <w:bodyDiv w:val="1"/>
      <w:marLeft w:val="0"/>
      <w:marRight w:val="0"/>
      <w:marTop w:val="0"/>
      <w:marBottom w:val="0"/>
      <w:divBdr>
        <w:top w:val="none" w:sz="0" w:space="0" w:color="auto"/>
        <w:left w:val="none" w:sz="0" w:space="0" w:color="auto"/>
        <w:bottom w:val="none" w:sz="0" w:space="0" w:color="auto"/>
        <w:right w:val="none" w:sz="0" w:space="0" w:color="auto"/>
      </w:divBdr>
    </w:div>
    <w:div w:id="799955550">
      <w:bodyDiv w:val="1"/>
      <w:marLeft w:val="0"/>
      <w:marRight w:val="0"/>
      <w:marTop w:val="0"/>
      <w:marBottom w:val="0"/>
      <w:divBdr>
        <w:top w:val="none" w:sz="0" w:space="0" w:color="auto"/>
        <w:left w:val="none" w:sz="0" w:space="0" w:color="auto"/>
        <w:bottom w:val="none" w:sz="0" w:space="0" w:color="auto"/>
        <w:right w:val="none" w:sz="0" w:space="0" w:color="auto"/>
      </w:divBdr>
    </w:div>
    <w:div w:id="806238478">
      <w:bodyDiv w:val="1"/>
      <w:marLeft w:val="0"/>
      <w:marRight w:val="0"/>
      <w:marTop w:val="0"/>
      <w:marBottom w:val="0"/>
      <w:divBdr>
        <w:top w:val="none" w:sz="0" w:space="0" w:color="auto"/>
        <w:left w:val="none" w:sz="0" w:space="0" w:color="auto"/>
        <w:bottom w:val="none" w:sz="0" w:space="0" w:color="auto"/>
        <w:right w:val="none" w:sz="0" w:space="0" w:color="auto"/>
      </w:divBdr>
    </w:div>
    <w:div w:id="807625317">
      <w:bodyDiv w:val="1"/>
      <w:marLeft w:val="0"/>
      <w:marRight w:val="0"/>
      <w:marTop w:val="0"/>
      <w:marBottom w:val="0"/>
      <w:divBdr>
        <w:top w:val="none" w:sz="0" w:space="0" w:color="auto"/>
        <w:left w:val="none" w:sz="0" w:space="0" w:color="auto"/>
        <w:bottom w:val="none" w:sz="0" w:space="0" w:color="auto"/>
        <w:right w:val="none" w:sz="0" w:space="0" w:color="auto"/>
      </w:divBdr>
    </w:div>
    <w:div w:id="827095031">
      <w:bodyDiv w:val="1"/>
      <w:marLeft w:val="0"/>
      <w:marRight w:val="0"/>
      <w:marTop w:val="0"/>
      <w:marBottom w:val="0"/>
      <w:divBdr>
        <w:top w:val="none" w:sz="0" w:space="0" w:color="auto"/>
        <w:left w:val="none" w:sz="0" w:space="0" w:color="auto"/>
        <w:bottom w:val="none" w:sz="0" w:space="0" w:color="auto"/>
        <w:right w:val="none" w:sz="0" w:space="0" w:color="auto"/>
      </w:divBdr>
    </w:div>
    <w:div w:id="861355382">
      <w:bodyDiv w:val="1"/>
      <w:marLeft w:val="0"/>
      <w:marRight w:val="0"/>
      <w:marTop w:val="0"/>
      <w:marBottom w:val="0"/>
      <w:divBdr>
        <w:top w:val="none" w:sz="0" w:space="0" w:color="auto"/>
        <w:left w:val="none" w:sz="0" w:space="0" w:color="auto"/>
        <w:bottom w:val="none" w:sz="0" w:space="0" w:color="auto"/>
        <w:right w:val="none" w:sz="0" w:space="0" w:color="auto"/>
      </w:divBdr>
    </w:div>
    <w:div w:id="903225368">
      <w:bodyDiv w:val="1"/>
      <w:marLeft w:val="0"/>
      <w:marRight w:val="0"/>
      <w:marTop w:val="0"/>
      <w:marBottom w:val="0"/>
      <w:divBdr>
        <w:top w:val="none" w:sz="0" w:space="0" w:color="auto"/>
        <w:left w:val="none" w:sz="0" w:space="0" w:color="auto"/>
        <w:bottom w:val="none" w:sz="0" w:space="0" w:color="auto"/>
        <w:right w:val="none" w:sz="0" w:space="0" w:color="auto"/>
      </w:divBdr>
    </w:div>
    <w:div w:id="926768169">
      <w:bodyDiv w:val="1"/>
      <w:marLeft w:val="0"/>
      <w:marRight w:val="0"/>
      <w:marTop w:val="0"/>
      <w:marBottom w:val="0"/>
      <w:divBdr>
        <w:top w:val="none" w:sz="0" w:space="0" w:color="auto"/>
        <w:left w:val="none" w:sz="0" w:space="0" w:color="auto"/>
        <w:bottom w:val="none" w:sz="0" w:space="0" w:color="auto"/>
        <w:right w:val="none" w:sz="0" w:space="0" w:color="auto"/>
      </w:divBdr>
    </w:div>
    <w:div w:id="980690759">
      <w:bodyDiv w:val="1"/>
      <w:marLeft w:val="0"/>
      <w:marRight w:val="0"/>
      <w:marTop w:val="0"/>
      <w:marBottom w:val="0"/>
      <w:divBdr>
        <w:top w:val="none" w:sz="0" w:space="0" w:color="auto"/>
        <w:left w:val="none" w:sz="0" w:space="0" w:color="auto"/>
        <w:bottom w:val="none" w:sz="0" w:space="0" w:color="auto"/>
        <w:right w:val="none" w:sz="0" w:space="0" w:color="auto"/>
      </w:divBdr>
    </w:div>
    <w:div w:id="997002575">
      <w:bodyDiv w:val="1"/>
      <w:marLeft w:val="0"/>
      <w:marRight w:val="0"/>
      <w:marTop w:val="0"/>
      <w:marBottom w:val="0"/>
      <w:divBdr>
        <w:top w:val="none" w:sz="0" w:space="0" w:color="auto"/>
        <w:left w:val="none" w:sz="0" w:space="0" w:color="auto"/>
        <w:bottom w:val="none" w:sz="0" w:space="0" w:color="auto"/>
        <w:right w:val="none" w:sz="0" w:space="0" w:color="auto"/>
      </w:divBdr>
    </w:div>
    <w:div w:id="1011954237">
      <w:bodyDiv w:val="1"/>
      <w:marLeft w:val="0"/>
      <w:marRight w:val="0"/>
      <w:marTop w:val="0"/>
      <w:marBottom w:val="0"/>
      <w:divBdr>
        <w:top w:val="none" w:sz="0" w:space="0" w:color="auto"/>
        <w:left w:val="none" w:sz="0" w:space="0" w:color="auto"/>
        <w:bottom w:val="none" w:sz="0" w:space="0" w:color="auto"/>
        <w:right w:val="none" w:sz="0" w:space="0" w:color="auto"/>
      </w:divBdr>
    </w:div>
    <w:div w:id="1027024255">
      <w:bodyDiv w:val="1"/>
      <w:marLeft w:val="0"/>
      <w:marRight w:val="0"/>
      <w:marTop w:val="0"/>
      <w:marBottom w:val="0"/>
      <w:divBdr>
        <w:top w:val="none" w:sz="0" w:space="0" w:color="auto"/>
        <w:left w:val="none" w:sz="0" w:space="0" w:color="auto"/>
        <w:bottom w:val="none" w:sz="0" w:space="0" w:color="auto"/>
        <w:right w:val="none" w:sz="0" w:space="0" w:color="auto"/>
      </w:divBdr>
    </w:div>
    <w:div w:id="1033189937">
      <w:bodyDiv w:val="1"/>
      <w:marLeft w:val="0"/>
      <w:marRight w:val="0"/>
      <w:marTop w:val="0"/>
      <w:marBottom w:val="0"/>
      <w:divBdr>
        <w:top w:val="none" w:sz="0" w:space="0" w:color="auto"/>
        <w:left w:val="none" w:sz="0" w:space="0" w:color="auto"/>
        <w:bottom w:val="none" w:sz="0" w:space="0" w:color="auto"/>
        <w:right w:val="none" w:sz="0" w:space="0" w:color="auto"/>
      </w:divBdr>
    </w:div>
    <w:div w:id="1052534836">
      <w:bodyDiv w:val="1"/>
      <w:marLeft w:val="0"/>
      <w:marRight w:val="0"/>
      <w:marTop w:val="0"/>
      <w:marBottom w:val="0"/>
      <w:divBdr>
        <w:top w:val="none" w:sz="0" w:space="0" w:color="auto"/>
        <w:left w:val="none" w:sz="0" w:space="0" w:color="auto"/>
        <w:bottom w:val="none" w:sz="0" w:space="0" w:color="auto"/>
        <w:right w:val="none" w:sz="0" w:space="0" w:color="auto"/>
      </w:divBdr>
    </w:div>
    <w:div w:id="1067462111">
      <w:bodyDiv w:val="1"/>
      <w:marLeft w:val="0"/>
      <w:marRight w:val="0"/>
      <w:marTop w:val="0"/>
      <w:marBottom w:val="0"/>
      <w:divBdr>
        <w:top w:val="none" w:sz="0" w:space="0" w:color="auto"/>
        <w:left w:val="none" w:sz="0" w:space="0" w:color="auto"/>
        <w:bottom w:val="none" w:sz="0" w:space="0" w:color="auto"/>
        <w:right w:val="none" w:sz="0" w:space="0" w:color="auto"/>
      </w:divBdr>
    </w:div>
    <w:div w:id="1083335856">
      <w:bodyDiv w:val="1"/>
      <w:marLeft w:val="0"/>
      <w:marRight w:val="0"/>
      <w:marTop w:val="0"/>
      <w:marBottom w:val="0"/>
      <w:divBdr>
        <w:top w:val="none" w:sz="0" w:space="0" w:color="auto"/>
        <w:left w:val="none" w:sz="0" w:space="0" w:color="auto"/>
        <w:bottom w:val="none" w:sz="0" w:space="0" w:color="auto"/>
        <w:right w:val="none" w:sz="0" w:space="0" w:color="auto"/>
      </w:divBdr>
    </w:div>
    <w:div w:id="1106116715">
      <w:bodyDiv w:val="1"/>
      <w:marLeft w:val="0"/>
      <w:marRight w:val="0"/>
      <w:marTop w:val="0"/>
      <w:marBottom w:val="0"/>
      <w:divBdr>
        <w:top w:val="none" w:sz="0" w:space="0" w:color="auto"/>
        <w:left w:val="none" w:sz="0" w:space="0" w:color="auto"/>
        <w:bottom w:val="none" w:sz="0" w:space="0" w:color="auto"/>
        <w:right w:val="none" w:sz="0" w:space="0" w:color="auto"/>
      </w:divBdr>
    </w:div>
    <w:div w:id="1186168307">
      <w:bodyDiv w:val="1"/>
      <w:marLeft w:val="0"/>
      <w:marRight w:val="0"/>
      <w:marTop w:val="0"/>
      <w:marBottom w:val="0"/>
      <w:divBdr>
        <w:top w:val="none" w:sz="0" w:space="0" w:color="auto"/>
        <w:left w:val="none" w:sz="0" w:space="0" w:color="auto"/>
        <w:bottom w:val="none" w:sz="0" w:space="0" w:color="auto"/>
        <w:right w:val="none" w:sz="0" w:space="0" w:color="auto"/>
      </w:divBdr>
    </w:div>
    <w:div w:id="1207108237">
      <w:bodyDiv w:val="1"/>
      <w:marLeft w:val="0"/>
      <w:marRight w:val="0"/>
      <w:marTop w:val="0"/>
      <w:marBottom w:val="0"/>
      <w:divBdr>
        <w:top w:val="none" w:sz="0" w:space="0" w:color="auto"/>
        <w:left w:val="none" w:sz="0" w:space="0" w:color="auto"/>
        <w:bottom w:val="none" w:sz="0" w:space="0" w:color="auto"/>
        <w:right w:val="none" w:sz="0" w:space="0" w:color="auto"/>
      </w:divBdr>
    </w:div>
    <w:div w:id="1219367072">
      <w:bodyDiv w:val="1"/>
      <w:marLeft w:val="0"/>
      <w:marRight w:val="0"/>
      <w:marTop w:val="0"/>
      <w:marBottom w:val="0"/>
      <w:divBdr>
        <w:top w:val="none" w:sz="0" w:space="0" w:color="auto"/>
        <w:left w:val="none" w:sz="0" w:space="0" w:color="auto"/>
        <w:bottom w:val="none" w:sz="0" w:space="0" w:color="auto"/>
        <w:right w:val="none" w:sz="0" w:space="0" w:color="auto"/>
      </w:divBdr>
    </w:div>
    <w:div w:id="1229462967">
      <w:bodyDiv w:val="1"/>
      <w:marLeft w:val="0"/>
      <w:marRight w:val="0"/>
      <w:marTop w:val="0"/>
      <w:marBottom w:val="0"/>
      <w:divBdr>
        <w:top w:val="none" w:sz="0" w:space="0" w:color="auto"/>
        <w:left w:val="none" w:sz="0" w:space="0" w:color="auto"/>
        <w:bottom w:val="none" w:sz="0" w:space="0" w:color="auto"/>
        <w:right w:val="none" w:sz="0" w:space="0" w:color="auto"/>
      </w:divBdr>
    </w:div>
    <w:div w:id="1246649033">
      <w:bodyDiv w:val="1"/>
      <w:marLeft w:val="0"/>
      <w:marRight w:val="0"/>
      <w:marTop w:val="0"/>
      <w:marBottom w:val="0"/>
      <w:divBdr>
        <w:top w:val="none" w:sz="0" w:space="0" w:color="auto"/>
        <w:left w:val="none" w:sz="0" w:space="0" w:color="auto"/>
        <w:bottom w:val="none" w:sz="0" w:space="0" w:color="auto"/>
        <w:right w:val="none" w:sz="0" w:space="0" w:color="auto"/>
      </w:divBdr>
    </w:div>
    <w:div w:id="1268272720">
      <w:bodyDiv w:val="1"/>
      <w:marLeft w:val="0"/>
      <w:marRight w:val="0"/>
      <w:marTop w:val="0"/>
      <w:marBottom w:val="0"/>
      <w:divBdr>
        <w:top w:val="none" w:sz="0" w:space="0" w:color="auto"/>
        <w:left w:val="none" w:sz="0" w:space="0" w:color="auto"/>
        <w:bottom w:val="none" w:sz="0" w:space="0" w:color="auto"/>
        <w:right w:val="none" w:sz="0" w:space="0" w:color="auto"/>
      </w:divBdr>
    </w:div>
    <w:div w:id="1308166144">
      <w:bodyDiv w:val="1"/>
      <w:marLeft w:val="0"/>
      <w:marRight w:val="0"/>
      <w:marTop w:val="0"/>
      <w:marBottom w:val="0"/>
      <w:divBdr>
        <w:top w:val="none" w:sz="0" w:space="0" w:color="auto"/>
        <w:left w:val="none" w:sz="0" w:space="0" w:color="auto"/>
        <w:bottom w:val="none" w:sz="0" w:space="0" w:color="auto"/>
        <w:right w:val="none" w:sz="0" w:space="0" w:color="auto"/>
      </w:divBdr>
    </w:div>
    <w:div w:id="1316642850">
      <w:bodyDiv w:val="1"/>
      <w:marLeft w:val="0"/>
      <w:marRight w:val="0"/>
      <w:marTop w:val="0"/>
      <w:marBottom w:val="0"/>
      <w:divBdr>
        <w:top w:val="none" w:sz="0" w:space="0" w:color="auto"/>
        <w:left w:val="none" w:sz="0" w:space="0" w:color="auto"/>
        <w:bottom w:val="none" w:sz="0" w:space="0" w:color="auto"/>
        <w:right w:val="none" w:sz="0" w:space="0" w:color="auto"/>
      </w:divBdr>
    </w:div>
    <w:div w:id="1323699428">
      <w:bodyDiv w:val="1"/>
      <w:marLeft w:val="0"/>
      <w:marRight w:val="0"/>
      <w:marTop w:val="0"/>
      <w:marBottom w:val="0"/>
      <w:divBdr>
        <w:top w:val="none" w:sz="0" w:space="0" w:color="auto"/>
        <w:left w:val="none" w:sz="0" w:space="0" w:color="auto"/>
        <w:bottom w:val="none" w:sz="0" w:space="0" w:color="auto"/>
        <w:right w:val="none" w:sz="0" w:space="0" w:color="auto"/>
      </w:divBdr>
    </w:div>
    <w:div w:id="1345395574">
      <w:bodyDiv w:val="1"/>
      <w:marLeft w:val="0"/>
      <w:marRight w:val="0"/>
      <w:marTop w:val="0"/>
      <w:marBottom w:val="0"/>
      <w:divBdr>
        <w:top w:val="none" w:sz="0" w:space="0" w:color="auto"/>
        <w:left w:val="none" w:sz="0" w:space="0" w:color="auto"/>
        <w:bottom w:val="none" w:sz="0" w:space="0" w:color="auto"/>
        <w:right w:val="none" w:sz="0" w:space="0" w:color="auto"/>
      </w:divBdr>
    </w:div>
    <w:div w:id="1387994425">
      <w:bodyDiv w:val="1"/>
      <w:marLeft w:val="0"/>
      <w:marRight w:val="0"/>
      <w:marTop w:val="0"/>
      <w:marBottom w:val="0"/>
      <w:divBdr>
        <w:top w:val="none" w:sz="0" w:space="0" w:color="auto"/>
        <w:left w:val="none" w:sz="0" w:space="0" w:color="auto"/>
        <w:bottom w:val="none" w:sz="0" w:space="0" w:color="auto"/>
        <w:right w:val="none" w:sz="0" w:space="0" w:color="auto"/>
      </w:divBdr>
    </w:div>
    <w:div w:id="1439642376">
      <w:bodyDiv w:val="1"/>
      <w:marLeft w:val="0"/>
      <w:marRight w:val="0"/>
      <w:marTop w:val="0"/>
      <w:marBottom w:val="0"/>
      <w:divBdr>
        <w:top w:val="none" w:sz="0" w:space="0" w:color="auto"/>
        <w:left w:val="none" w:sz="0" w:space="0" w:color="auto"/>
        <w:bottom w:val="none" w:sz="0" w:space="0" w:color="auto"/>
        <w:right w:val="none" w:sz="0" w:space="0" w:color="auto"/>
      </w:divBdr>
    </w:div>
    <w:div w:id="1452430395">
      <w:bodyDiv w:val="1"/>
      <w:marLeft w:val="0"/>
      <w:marRight w:val="0"/>
      <w:marTop w:val="0"/>
      <w:marBottom w:val="0"/>
      <w:divBdr>
        <w:top w:val="none" w:sz="0" w:space="0" w:color="auto"/>
        <w:left w:val="none" w:sz="0" w:space="0" w:color="auto"/>
        <w:bottom w:val="none" w:sz="0" w:space="0" w:color="auto"/>
        <w:right w:val="none" w:sz="0" w:space="0" w:color="auto"/>
      </w:divBdr>
    </w:div>
    <w:div w:id="1484272811">
      <w:bodyDiv w:val="1"/>
      <w:marLeft w:val="0"/>
      <w:marRight w:val="0"/>
      <w:marTop w:val="0"/>
      <w:marBottom w:val="0"/>
      <w:divBdr>
        <w:top w:val="none" w:sz="0" w:space="0" w:color="auto"/>
        <w:left w:val="none" w:sz="0" w:space="0" w:color="auto"/>
        <w:bottom w:val="none" w:sz="0" w:space="0" w:color="auto"/>
        <w:right w:val="none" w:sz="0" w:space="0" w:color="auto"/>
      </w:divBdr>
    </w:div>
    <w:div w:id="1486581155">
      <w:bodyDiv w:val="1"/>
      <w:marLeft w:val="0"/>
      <w:marRight w:val="0"/>
      <w:marTop w:val="0"/>
      <w:marBottom w:val="0"/>
      <w:divBdr>
        <w:top w:val="none" w:sz="0" w:space="0" w:color="auto"/>
        <w:left w:val="none" w:sz="0" w:space="0" w:color="auto"/>
        <w:bottom w:val="none" w:sz="0" w:space="0" w:color="auto"/>
        <w:right w:val="none" w:sz="0" w:space="0" w:color="auto"/>
      </w:divBdr>
    </w:div>
    <w:div w:id="1539900450">
      <w:bodyDiv w:val="1"/>
      <w:marLeft w:val="0"/>
      <w:marRight w:val="0"/>
      <w:marTop w:val="0"/>
      <w:marBottom w:val="0"/>
      <w:divBdr>
        <w:top w:val="none" w:sz="0" w:space="0" w:color="auto"/>
        <w:left w:val="none" w:sz="0" w:space="0" w:color="auto"/>
        <w:bottom w:val="none" w:sz="0" w:space="0" w:color="auto"/>
        <w:right w:val="none" w:sz="0" w:space="0" w:color="auto"/>
      </w:divBdr>
    </w:div>
    <w:div w:id="1540705837">
      <w:bodyDiv w:val="1"/>
      <w:marLeft w:val="0"/>
      <w:marRight w:val="0"/>
      <w:marTop w:val="0"/>
      <w:marBottom w:val="0"/>
      <w:divBdr>
        <w:top w:val="none" w:sz="0" w:space="0" w:color="auto"/>
        <w:left w:val="none" w:sz="0" w:space="0" w:color="auto"/>
        <w:bottom w:val="none" w:sz="0" w:space="0" w:color="auto"/>
        <w:right w:val="none" w:sz="0" w:space="0" w:color="auto"/>
      </w:divBdr>
    </w:div>
    <w:div w:id="1574506560">
      <w:bodyDiv w:val="1"/>
      <w:marLeft w:val="0"/>
      <w:marRight w:val="0"/>
      <w:marTop w:val="0"/>
      <w:marBottom w:val="0"/>
      <w:divBdr>
        <w:top w:val="none" w:sz="0" w:space="0" w:color="auto"/>
        <w:left w:val="none" w:sz="0" w:space="0" w:color="auto"/>
        <w:bottom w:val="none" w:sz="0" w:space="0" w:color="auto"/>
        <w:right w:val="none" w:sz="0" w:space="0" w:color="auto"/>
      </w:divBdr>
    </w:div>
    <w:div w:id="1593928385">
      <w:bodyDiv w:val="1"/>
      <w:marLeft w:val="0"/>
      <w:marRight w:val="0"/>
      <w:marTop w:val="0"/>
      <w:marBottom w:val="0"/>
      <w:divBdr>
        <w:top w:val="none" w:sz="0" w:space="0" w:color="auto"/>
        <w:left w:val="none" w:sz="0" w:space="0" w:color="auto"/>
        <w:bottom w:val="none" w:sz="0" w:space="0" w:color="auto"/>
        <w:right w:val="none" w:sz="0" w:space="0" w:color="auto"/>
      </w:divBdr>
    </w:div>
    <w:div w:id="1608922754">
      <w:bodyDiv w:val="1"/>
      <w:marLeft w:val="0"/>
      <w:marRight w:val="0"/>
      <w:marTop w:val="0"/>
      <w:marBottom w:val="0"/>
      <w:divBdr>
        <w:top w:val="none" w:sz="0" w:space="0" w:color="auto"/>
        <w:left w:val="none" w:sz="0" w:space="0" w:color="auto"/>
        <w:bottom w:val="none" w:sz="0" w:space="0" w:color="auto"/>
        <w:right w:val="none" w:sz="0" w:space="0" w:color="auto"/>
      </w:divBdr>
    </w:div>
    <w:div w:id="1614560176">
      <w:bodyDiv w:val="1"/>
      <w:marLeft w:val="0"/>
      <w:marRight w:val="0"/>
      <w:marTop w:val="0"/>
      <w:marBottom w:val="0"/>
      <w:divBdr>
        <w:top w:val="none" w:sz="0" w:space="0" w:color="auto"/>
        <w:left w:val="none" w:sz="0" w:space="0" w:color="auto"/>
        <w:bottom w:val="none" w:sz="0" w:space="0" w:color="auto"/>
        <w:right w:val="none" w:sz="0" w:space="0" w:color="auto"/>
      </w:divBdr>
    </w:div>
    <w:div w:id="1645116175">
      <w:bodyDiv w:val="1"/>
      <w:marLeft w:val="0"/>
      <w:marRight w:val="0"/>
      <w:marTop w:val="0"/>
      <w:marBottom w:val="0"/>
      <w:divBdr>
        <w:top w:val="none" w:sz="0" w:space="0" w:color="auto"/>
        <w:left w:val="none" w:sz="0" w:space="0" w:color="auto"/>
        <w:bottom w:val="none" w:sz="0" w:space="0" w:color="auto"/>
        <w:right w:val="none" w:sz="0" w:space="0" w:color="auto"/>
      </w:divBdr>
    </w:div>
    <w:div w:id="1646811005">
      <w:bodyDiv w:val="1"/>
      <w:marLeft w:val="0"/>
      <w:marRight w:val="0"/>
      <w:marTop w:val="0"/>
      <w:marBottom w:val="0"/>
      <w:divBdr>
        <w:top w:val="none" w:sz="0" w:space="0" w:color="auto"/>
        <w:left w:val="none" w:sz="0" w:space="0" w:color="auto"/>
        <w:bottom w:val="none" w:sz="0" w:space="0" w:color="auto"/>
        <w:right w:val="none" w:sz="0" w:space="0" w:color="auto"/>
      </w:divBdr>
    </w:div>
    <w:div w:id="1647004510">
      <w:bodyDiv w:val="1"/>
      <w:marLeft w:val="0"/>
      <w:marRight w:val="0"/>
      <w:marTop w:val="0"/>
      <w:marBottom w:val="0"/>
      <w:divBdr>
        <w:top w:val="none" w:sz="0" w:space="0" w:color="auto"/>
        <w:left w:val="none" w:sz="0" w:space="0" w:color="auto"/>
        <w:bottom w:val="none" w:sz="0" w:space="0" w:color="auto"/>
        <w:right w:val="none" w:sz="0" w:space="0" w:color="auto"/>
      </w:divBdr>
    </w:div>
    <w:div w:id="1699961545">
      <w:bodyDiv w:val="1"/>
      <w:marLeft w:val="0"/>
      <w:marRight w:val="0"/>
      <w:marTop w:val="0"/>
      <w:marBottom w:val="0"/>
      <w:divBdr>
        <w:top w:val="none" w:sz="0" w:space="0" w:color="auto"/>
        <w:left w:val="none" w:sz="0" w:space="0" w:color="auto"/>
        <w:bottom w:val="none" w:sz="0" w:space="0" w:color="auto"/>
        <w:right w:val="none" w:sz="0" w:space="0" w:color="auto"/>
      </w:divBdr>
    </w:div>
    <w:div w:id="1711682709">
      <w:bodyDiv w:val="1"/>
      <w:marLeft w:val="0"/>
      <w:marRight w:val="0"/>
      <w:marTop w:val="0"/>
      <w:marBottom w:val="0"/>
      <w:divBdr>
        <w:top w:val="none" w:sz="0" w:space="0" w:color="auto"/>
        <w:left w:val="none" w:sz="0" w:space="0" w:color="auto"/>
        <w:bottom w:val="none" w:sz="0" w:space="0" w:color="auto"/>
        <w:right w:val="none" w:sz="0" w:space="0" w:color="auto"/>
      </w:divBdr>
      <w:divsChild>
        <w:div w:id="749351188">
          <w:marLeft w:val="0"/>
          <w:marRight w:val="0"/>
          <w:marTop w:val="0"/>
          <w:marBottom w:val="0"/>
          <w:divBdr>
            <w:top w:val="none" w:sz="0" w:space="0" w:color="auto"/>
            <w:left w:val="none" w:sz="0" w:space="0" w:color="auto"/>
            <w:bottom w:val="none" w:sz="0" w:space="0" w:color="auto"/>
            <w:right w:val="none" w:sz="0" w:space="0" w:color="auto"/>
          </w:divBdr>
          <w:divsChild>
            <w:div w:id="1616476630">
              <w:marLeft w:val="0"/>
              <w:marRight w:val="0"/>
              <w:marTop w:val="0"/>
              <w:marBottom w:val="0"/>
              <w:divBdr>
                <w:top w:val="none" w:sz="0" w:space="0" w:color="auto"/>
                <w:left w:val="none" w:sz="0" w:space="0" w:color="auto"/>
                <w:bottom w:val="none" w:sz="0" w:space="0" w:color="auto"/>
                <w:right w:val="none" w:sz="0" w:space="0" w:color="auto"/>
              </w:divBdr>
              <w:divsChild>
                <w:div w:id="551887954">
                  <w:marLeft w:val="0"/>
                  <w:marRight w:val="0"/>
                  <w:marTop w:val="0"/>
                  <w:marBottom w:val="0"/>
                  <w:divBdr>
                    <w:top w:val="none" w:sz="0" w:space="0" w:color="auto"/>
                    <w:left w:val="none" w:sz="0" w:space="0" w:color="auto"/>
                    <w:bottom w:val="none" w:sz="0" w:space="0" w:color="auto"/>
                    <w:right w:val="none" w:sz="0" w:space="0" w:color="auto"/>
                  </w:divBdr>
                  <w:divsChild>
                    <w:div w:id="1186476573">
                      <w:marLeft w:val="0"/>
                      <w:marRight w:val="0"/>
                      <w:marTop w:val="0"/>
                      <w:marBottom w:val="0"/>
                      <w:divBdr>
                        <w:top w:val="none" w:sz="0" w:space="0" w:color="auto"/>
                        <w:left w:val="none" w:sz="0" w:space="0" w:color="auto"/>
                        <w:bottom w:val="none" w:sz="0" w:space="0" w:color="auto"/>
                        <w:right w:val="none" w:sz="0" w:space="0" w:color="auto"/>
                      </w:divBdr>
                      <w:divsChild>
                        <w:div w:id="13153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766791">
      <w:bodyDiv w:val="1"/>
      <w:marLeft w:val="0"/>
      <w:marRight w:val="0"/>
      <w:marTop w:val="0"/>
      <w:marBottom w:val="0"/>
      <w:divBdr>
        <w:top w:val="none" w:sz="0" w:space="0" w:color="auto"/>
        <w:left w:val="none" w:sz="0" w:space="0" w:color="auto"/>
        <w:bottom w:val="none" w:sz="0" w:space="0" w:color="auto"/>
        <w:right w:val="none" w:sz="0" w:space="0" w:color="auto"/>
      </w:divBdr>
    </w:div>
    <w:div w:id="1805852253">
      <w:bodyDiv w:val="1"/>
      <w:marLeft w:val="0"/>
      <w:marRight w:val="0"/>
      <w:marTop w:val="0"/>
      <w:marBottom w:val="0"/>
      <w:divBdr>
        <w:top w:val="none" w:sz="0" w:space="0" w:color="auto"/>
        <w:left w:val="none" w:sz="0" w:space="0" w:color="auto"/>
        <w:bottom w:val="none" w:sz="0" w:space="0" w:color="auto"/>
        <w:right w:val="none" w:sz="0" w:space="0" w:color="auto"/>
      </w:divBdr>
    </w:div>
    <w:div w:id="1822500292">
      <w:bodyDiv w:val="1"/>
      <w:marLeft w:val="0"/>
      <w:marRight w:val="0"/>
      <w:marTop w:val="0"/>
      <w:marBottom w:val="0"/>
      <w:divBdr>
        <w:top w:val="none" w:sz="0" w:space="0" w:color="auto"/>
        <w:left w:val="none" w:sz="0" w:space="0" w:color="auto"/>
        <w:bottom w:val="none" w:sz="0" w:space="0" w:color="auto"/>
        <w:right w:val="none" w:sz="0" w:space="0" w:color="auto"/>
      </w:divBdr>
    </w:div>
    <w:div w:id="1855723990">
      <w:bodyDiv w:val="1"/>
      <w:marLeft w:val="0"/>
      <w:marRight w:val="0"/>
      <w:marTop w:val="0"/>
      <w:marBottom w:val="0"/>
      <w:divBdr>
        <w:top w:val="none" w:sz="0" w:space="0" w:color="auto"/>
        <w:left w:val="none" w:sz="0" w:space="0" w:color="auto"/>
        <w:bottom w:val="none" w:sz="0" w:space="0" w:color="auto"/>
        <w:right w:val="none" w:sz="0" w:space="0" w:color="auto"/>
      </w:divBdr>
    </w:div>
    <w:div w:id="1879276227">
      <w:bodyDiv w:val="1"/>
      <w:marLeft w:val="0"/>
      <w:marRight w:val="0"/>
      <w:marTop w:val="0"/>
      <w:marBottom w:val="0"/>
      <w:divBdr>
        <w:top w:val="none" w:sz="0" w:space="0" w:color="auto"/>
        <w:left w:val="none" w:sz="0" w:space="0" w:color="auto"/>
        <w:bottom w:val="none" w:sz="0" w:space="0" w:color="auto"/>
        <w:right w:val="none" w:sz="0" w:space="0" w:color="auto"/>
      </w:divBdr>
    </w:div>
    <w:div w:id="1908421221">
      <w:bodyDiv w:val="1"/>
      <w:marLeft w:val="0"/>
      <w:marRight w:val="0"/>
      <w:marTop w:val="0"/>
      <w:marBottom w:val="0"/>
      <w:divBdr>
        <w:top w:val="none" w:sz="0" w:space="0" w:color="auto"/>
        <w:left w:val="none" w:sz="0" w:space="0" w:color="auto"/>
        <w:bottom w:val="none" w:sz="0" w:space="0" w:color="auto"/>
        <w:right w:val="none" w:sz="0" w:space="0" w:color="auto"/>
      </w:divBdr>
    </w:div>
    <w:div w:id="1912419908">
      <w:bodyDiv w:val="1"/>
      <w:marLeft w:val="0"/>
      <w:marRight w:val="0"/>
      <w:marTop w:val="0"/>
      <w:marBottom w:val="0"/>
      <w:divBdr>
        <w:top w:val="none" w:sz="0" w:space="0" w:color="auto"/>
        <w:left w:val="none" w:sz="0" w:space="0" w:color="auto"/>
        <w:bottom w:val="none" w:sz="0" w:space="0" w:color="auto"/>
        <w:right w:val="none" w:sz="0" w:space="0" w:color="auto"/>
      </w:divBdr>
    </w:div>
    <w:div w:id="1928616867">
      <w:bodyDiv w:val="1"/>
      <w:marLeft w:val="0"/>
      <w:marRight w:val="0"/>
      <w:marTop w:val="0"/>
      <w:marBottom w:val="0"/>
      <w:divBdr>
        <w:top w:val="none" w:sz="0" w:space="0" w:color="auto"/>
        <w:left w:val="none" w:sz="0" w:space="0" w:color="auto"/>
        <w:bottom w:val="none" w:sz="0" w:space="0" w:color="auto"/>
        <w:right w:val="none" w:sz="0" w:space="0" w:color="auto"/>
      </w:divBdr>
    </w:div>
    <w:div w:id="1939869836">
      <w:bodyDiv w:val="1"/>
      <w:marLeft w:val="0"/>
      <w:marRight w:val="0"/>
      <w:marTop w:val="0"/>
      <w:marBottom w:val="0"/>
      <w:divBdr>
        <w:top w:val="none" w:sz="0" w:space="0" w:color="auto"/>
        <w:left w:val="none" w:sz="0" w:space="0" w:color="auto"/>
        <w:bottom w:val="none" w:sz="0" w:space="0" w:color="auto"/>
        <w:right w:val="none" w:sz="0" w:space="0" w:color="auto"/>
      </w:divBdr>
    </w:div>
    <w:div w:id="1943565421">
      <w:bodyDiv w:val="1"/>
      <w:marLeft w:val="0"/>
      <w:marRight w:val="0"/>
      <w:marTop w:val="0"/>
      <w:marBottom w:val="0"/>
      <w:divBdr>
        <w:top w:val="none" w:sz="0" w:space="0" w:color="auto"/>
        <w:left w:val="none" w:sz="0" w:space="0" w:color="auto"/>
        <w:bottom w:val="none" w:sz="0" w:space="0" w:color="auto"/>
        <w:right w:val="none" w:sz="0" w:space="0" w:color="auto"/>
      </w:divBdr>
    </w:div>
    <w:div w:id="1963343793">
      <w:bodyDiv w:val="1"/>
      <w:marLeft w:val="0"/>
      <w:marRight w:val="0"/>
      <w:marTop w:val="0"/>
      <w:marBottom w:val="0"/>
      <w:divBdr>
        <w:top w:val="none" w:sz="0" w:space="0" w:color="auto"/>
        <w:left w:val="none" w:sz="0" w:space="0" w:color="auto"/>
        <w:bottom w:val="none" w:sz="0" w:space="0" w:color="auto"/>
        <w:right w:val="none" w:sz="0" w:space="0" w:color="auto"/>
      </w:divBdr>
    </w:div>
    <w:div w:id="1969579992">
      <w:bodyDiv w:val="1"/>
      <w:marLeft w:val="0"/>
      <w:marRight w:val="0"/>
      <w:marTop w:val="0"/>
      <w:marBottom w:val="0"/>
      <w:divBdr>
        <w:top w:val="none" w:sz="0" w:space="0" w:color="auto"/>
        <w:left w:val="none" w:sz="0" w:space="0" w:color="auto"/>
        <w:bottom w:val="none" w:sz="0" w:space="0" w:color="auto"/>
        <w:right w:val="none" w:sz="0" w:space="0" w:color="auto"/>
      </w:divBdr>
    </w:div>
    <w:div w:id="2003384582">
      <w:bodyDiv w:val="1"/>
      <w:marLeft w:val="0"/>
      <w:marRight w:val="0"/>
      <w:marTop w:val="0"/>
      <w:marBottom w:val="0"/>
      <w:divBdr>
        <w:top w:val="none" w:sz="0" w:space="0" w:color="auto"/>
        <w:left w:val="none" w:sz="0" w:space="0" w:color="auto"/>
        <w:bottom w:val="none" w:sz="0" w:space="0" w:color="auto"/>
        <w:right w:val="none" w:sz="0" w:space="0" w:color="auto"/>
      </w:divBdr>
    </w:div>
    <w:div w:id="2029019719">
      <w:bodyDiv w:val="1"/>
      <w:marLeft w:val="0"/>
      <w:marRight w:val="0"/>
      <w:marTop w:val="0"/>
      <w:marBottom w:val="0"/>
      <w:divBdr>
        <w:top w:val="none" w:sz="0" w:space="0" w:color="auto"/>
        <w:left w:val="none" w:sz="0" w:space="0" w:color="auto"/>
        <w:bottom w:val="none" w:sz="0" w:space="0" w:color="auto"/>
        <w:right w:val="none" w:sz="0" w:space="0" w:color="auto"/>
      </w:divBdr>
    </w:div>
    <w:div w:id="2029866135">
      <w:bodyDiv w:val="1"/>
      <w:marLeft w:val="0"/>
      <w:marRight w:val="0"/>
      <w:marTop w:val="0"/>
      <w:marBottom w:val="0"/>
      <w:divBdr>
        <w:top w:val="none" w:sz="0" w:space="0" w:color="auto"/>
        <w:left w:val="none" w:sz="0" w:space="0" w:color="auto"/>
        <w:bottom w:val="none" w:sz="0" w:space="0" w:color="auto"/>
        <w:right w:val="none" w:sz="0" w:space="0" w:color="auto"/>
      </w:divBdr>
    </w:div>
    <w:div w:id="2066947880">
      <w:bodyDiv w:val="1"/>
      <w:marLeft w:val="0"/>
      <w:marRight w:val="0"/>
      <w:marTop w:val="0"/>
      <w:marBottom w:val="0"/>
      <w:divBdr>
        <w:top w:val="none" w:sz="0" w:space="0" w:color="auto"/>
        <w:left w:val="none" w:sz="0" w:space="0" w:color="auto"/>
        <w:bottom w:val="none" w:sz="0" w:space="0" w:color="auto"/>
        <w:right w:val="none" w:sz="0" w:space="0" w:color="auto"/>
      </w:divBdr>
    </w:div>
    <w:div w:id="2109495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gender-pay-gap-reporting-what-employers-must-publis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ender-pay-gap.servic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58892-7A21-44FE-A2C4-1974675CC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6</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F&amp;AC Finance Report</vt:lpstr>
    </vt:vector>
  </TitlesOfParts>
  <Company>.</Company>
  <LinksUpToDate>false</LinksUpToDate>
  <CharactersWithSpaces>9411</CharactersWithSpaces>
  <SharedDoc>false</SharedDoc>
  <HLinks>
    <vt:vector size="6" baseType="variant">
      <vt:variant>
        <vt:i4>7405603</vt:i4>
      </vt:variant>
      <vt:variant>
        <vt:i4>6</vt:i4>
      </vt:variant>
      <vt:variant>
        <vt:i4>0</vt:i4>
      </vt:variant>
      <vt:variant>
        <vt:i4>5</vt:i4>
      </vt:variant>
      <vt:variant>
        <vt:lpwstr>\\nthchq4\highlifehighland\HLH Board\HLH Board Meetings\PURPOSE KEY BUSINESS OBJECTIVES AND CORPORATE VALUES.doc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F&amp;AC Finance Report</dc:title>
  <dc:creator>Graham Watson</dc:creator>
  <cp:lastModifiedBy>Jane Maclennan</cp:lastModifiedBy>
  <cp:revision>12</cp:revision>
  <cp:lastPrinted>2019-07-26T13:23:00Z</cp:lastPrinted>
  <dcterms:created xsi:type="dcterms:W3CDTF">2019-07-24T09:01:00Z</dcterms:created>
  <dcterms:modified xsi:type="dcterms:W3CDTF">2019-08-14T14:57:00Z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1384248846</vt:i4>
  </property>
  <property fmtid="{D5CDD505-2E9C-101B-9397-08002B2CF9AE}" pid="3" name="_EmailSubject">
    <vt:lpwstr>HLH BOARD AGENDA AND PAPERS FOR WEB UPLOAD</vt:lpwstr>
  </property>
  <property fmtid="{D5CDD505-2E9C-101B-9397-08002B2CF9AE}" pid="4" name="_AuthorEmail">
    <vt:lpwstr/>
  </property>
  <property fmtid="{D5CDD505-2E9C-101B-9397-08002B2CF9AE}" pid="5" name="_AuthorEmailDisplayName">
    <vt:lpwstr>Jackie MacKenzie - High Life Highland</vt:lpwstr>
  </property>
  <property fmtid="{D5CDD505-2E9C-101B-9397-08002B2CF9AE}" pid="6" name="_NewReviewCycle">
    <vt:lpwstr/>
  </property>
  <property fmtid="{D5CDD505-2E9C-101B-9397-08002B2CF9AE}" pid="7" name="_PreviousAdHocReviewCycleID">
    <vt:i4>117619967</vt:i4>
  </property>
</Properties>
</file>