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000" w:firstRow="0" w:lastRow="0" w:firstColumn="0" w:lastColumn="0" w:noHBand="0" w:noVBand="0"/>
      </w:tblPr>
      <w:tblGrid>
        <w:gridCol w:w="6629"/>
        <w:gridCol w:w="2835"/>
      </w:tblGrid>
      <w:tr w:rsidR="00B84929" w:rsidRPr="0089449E" w:rsidTr="00DE1E6C">
        <w:trPr>
          <w:cantSplit/>
          <w:trHeight w:val="993"/>
        </w:trPr>
        <w:tc>
          <w:tcPr>
            <w:tcW w:w="6629" w:type="dxa"/>
          </w:tcPr>
          <w:p w:rsidR="00DE1E6C" w:rsidRPr="0089449E" w:rsidRDefault="00B84929" w:rsidP="002B7DC4">
            <w:pPr>
              <w:pStyle w:val="BodyText"/>
              <w:jc w:val="left"/>
              <w:rPr>
                <w:rFonts w:ascii="Arial" w:hAnsi="Arial" w:cs="Arial"/>
                <w:szCs w:val="24"/>
              </w:rPr>
            </w:pPr>
            <w:r w:rsidRPr="0089449E">
              <w:rPr>
                <w:rFonts w:ascii="Arial" w:hAnsi="Arial" w:cs="Arial"/>
                <w:szCs w:val="24"/>
              </w:rPr>
              <w:t xml:space="preserve">HIGH LIFE HIGHLAND </w:t>
            </w:r>
          </w:p>
          <w:p w:rsidR="002B7DC4" w:rsidRPr="0089449E" w:rsidRDefault="00DE1E6C" w:rsidP="002B7DC4">
            <w:pPr>
              <w:pStyle w:val="BodyText"/>
              <w:jc w:val="left"/>
              <w:rPr>
                <w:rFonts w:ascii="Arial" w:hAnsi="Arial" w:cs="Arial"/>
                <w:szCs w:val="24"/>
              </w:rPr>
            </w:pPr>
            <w:r w:rsidRPr="0089449E">
              <w:rPr>
                <w:rFonts w:ascii="Arial" w:hAnsi="Arial" w:cs="Arial"/>
                <w:szCs w:val="24"/>
              </w:rPr>
              <w:t>REPORT TO BOARD OF DIRECTORS</w:t>
            </w:r>
          </w:p>
          <w:p w:rsidR="002B7DC4" w:rsidRPr="0089449E" w:rsidRDefault="00BE155F" w:rsidP="002B7DC4">
            <w:pPr>
              <w:pStyle w:val="BodyText"/>
              <w:jc w:val="left"/>
              <w:rPr>
                <w:rFonts w:ascii="Arial" w:hAnsi="Arial" w:cs="Arial"/>
                <w:szCs w:val="24"/>
              </w:rPr>
            </w:pPr>
            <w:r>
              <w:rPr>
                <w:rFonts w:ascii="Arial" w:hAnsi="Arial" w:cs="Arial"/>
                <w:szCs w:val="24"/>
              </w:rPr>
              <w:t>20 June 2019</w:t>
            </w:r>
          </w:p>
          <w:p w:rsidR="00B84929" w:rsidRPr="0089449E" w:rsidRDefault="00B84929" w:rsidP="002B7DC4">
            <w:pPr>
              <w:pStyle w:val="BodyText"/>
              <w:jc w:val="left"/>
              <w:rPr>
                <w:rFonts w:ascii="Arial" w:hAnsi="Arial" w:cs="Arial"/>
                <w:szCs w:val="24"/>
              </w:rPr>
            </w:pPr>
            <w:r w:rsidRPr="0089449E">
              <w:rPr>
                <w:rFonts w:ascii="Arial" w:hAnsi="Arial" w:cs="Arial"/>
                <w:szCs w:val="24"/>
              </w:rPr>
              <w:fldChar w:fldCharType="begin"/>
            </w:r>
            <w:r w:rsidRPr="0089449E">
              <w:rPr>
                <w:rFonts w:ascii="Arial" w:hAnsi="Arial" w:cs="Arial"/>
                <w:szCs w:val="24"/>
              </w:rPr>
              <w:instrText xml:space="preserve">  </w:instrText>
            </w:r>
            <w:r w:rsidRPr="0089449E">
              <w:rPr>
                <w:rFonts w:ascii="Arial" w:hAnsi="Arial" w:cs="Arial"/>
                <w:szCs w:val="24"/>
              </w:rPr>
              <w:fldChar w:fldCharType="end"/>
            </w:r>
          </w:p>
        </w:tc>
        <w:tc>
          <w:tcPr>
            <w:tcW w:w="2835" w:type="dxa"/>
          </w:tcPr>
          <w:p w:rsidR="00B84929" w:rsidRPr="0089449E" w:rsidRDefault="00B84929" w:rsidP="00615DE0">
            <w:pPr>
              <w:rPr>
                <w:rFonts w:ascii="Arial" w:hAnsi="Arial" w:cs="Arial"/>
                <w:szCs w:val="24"/>
              </w:rPr>
            </w:pPr>
            <w:r w:rsidRPr="0089449E">
              <w:rPr>
                <w:rFonts w:ascii="Arial" w:hAnsi="Arial" w:cs="Arial"/>
                <w:szCs w:val="24"/>
              </w:rPr>
              <w:t>AGENDA ITEM</w:t>
            </w:r>
            <w:r w:rsidR="00306BAA">
              <w:rPr>
                <w:rFonts w:ascii="Arial" w:hAnsi="Arial" w:cs="Arial"/>
                <w:szCs w:val="24"/>
              </w:rPr>
              <w:t xml:space="preserve"> </w:t>
            </w:r>
            <w:r w:rsidR="00615DE0">
              <w:rPr>
                <w:rFonts w:ascii="Arial" w:hAnsi="Arial" w:cs="Arial"/>
                <w:szCs w:val="24"/>
              </w:rPr>
              <w:t xml:space="preserve"> </w:t>
            </w:r>
            <w:r w:rsidRPr="0089449E">
              <w:rPr>
                <w:rFonts w:ascii="Arial" w:hAnsi="Arial" w:cs="Arial"/>
                <w:szCs w:val="24"/>
              </w:rPr>
              <w:t xml:space="preserve">    REPORT No HLH</w:t>
            </w:r>
            <w:r w:rsidR="00615DE0">
              <w:rPr>
                <w:rFonts w:ascii="Arial" w:hAnsi="Arial" w:cs="Arial"/>
                <w:szCs w:val="24"/>
              </w:rPr>
              <w:t xml:space="preserve">  </w:t>
            </w:r>
            <w:r w:rsidRPr="0089449E">
              <w:rPr>
                <w:rFonts w:ascii="Arial" w:hAnsi="Arial" w:cs="Arial"/>
                <w:szCs w:val="24"/>
              </w:rPr>
              <w:t>/1</w:t>
            </w:r>
            <w:r w:rsidR="009E72FA">
              <w:rPr>
                <w:rFonts w:ascii="Arial" w:hAnsi="Arial" w:cs="Arial"/>
                <w:szCs w:val="24"/>
              </w:rPr>
              <w:t>9</w:t>
            </w:r>
          </w:p>
        </w:tc>
      </w:tr>
    </w:tbl>
    <w:p w:rsidR="0039450A" w:rsidRPr="0089449E" w:rsidRDefault="00AE0E89" w:rsidP="00DE1E6C">
      <w:pPr>
        <w:pStyle w:val="Heading2"/>
        <w:rPr>
          <w:rFonts w:ascii="Arial" w:hAnsi="Arial" w:cs="Arial"/>
          <w:b/>
          <w:szCs w:val="24"/>
          <w:u w:val="none"/>
        </w:rPr>
      </w:pPr>
      <w:r>
        <w:rPr>
          <w:rFonts w:ascii="Arial" w:hAnsi="Arial" w:cs="Arial"/>
          <w:b/>
          <w:caps/>
          <w:szCs w:val="24"/>
          <w:u w:val="none"/>
        </w:rPr>
        <w:t>CHair/chIEF EXECUTIVE’S</w:t>
      </w:r>
      <w:r w:rsidR="00CE6A5E">
        <w:rPr>
          <w:rFonts w:ascii="Arial" w:hAnsi="Arial" w:cs="Arial"/>
          <w:b/>
          <w:caps/>
          <w:szCs w:val="24"/>
          <w:u w:val="none"/>
        </w:rPr>
        <w:t xml:space="preserve"> UPDATES</w:t>
      </w:r>
      <w:r w:rsidR="00050D22">
        <w:rPr>
          <w:rFonts w:ascii="Arial" w:hAnsi="Arial" w:cs="Arial"/>
          <w:b/>
          <w:caps/>
          <w:szCs w:val="24"/>
          <w:u w:val="none"/>
        </w:rPr>
        <w:t xml:space="preserve"> </w:t>
      </w:r>
      <w:r w:rsidR="00DE1E6C" w:rsidRPr="0089449E">
        <w:rPr>
          <w:rFonts w:ascii="Arial" w:hAnsi="Arial" w:cs="Arial"/>
          <w:b/>
          <w:szCs w:val="24"/>
          <w:u w:val="none"/>
        </w:rPr>
        <w:t>-</w:t>
      </w:r>
      <w:r w:rsidR="00050D22">
        <w:rPr>
          <w:rFonts w:ascii="Arial" w:hAnsi="Arial" w:cs="Arial"/>
          <w:b/>
          <w:szCs w:val="24"/>
          <w:u w:val="none"/>
        </w:rPr>
        <w:t xml:space="preserve"> </w:t>
      </w:r>
      <w:r w:rsidR="0039450A" w:rsidRPr="0089449E">
        <w:rPr>
          <w:rFonts w:ascii="Arial" w:hAnsi="Arial" w:cs="Arial"/>
          <w:b/>
          <w:szCs w:val="24"/>
          <w:u w:val="none"/>
        </w:rPr>
        <w:t xml:space="preserve">Report </w:t>
      </w:r>
      <w:r w:rsidR="00A8159A" w:rsidRPr="0089449E">
        <w:rPr>
          <w:rFonts w:ascii="Arial" w:hAnsi="Arial" w:cs="Arial"/>
          <w:b/>
          <w:szCs w:val="24"/>
          <w:u w:val="none"/>
        </w:rPr>
        <w:t>by</w:t>
      </w:r>
      <w:r w:rsidR="002B7DC4" w:rsidRPr="0089449E">
        <w:rPr>
          <w:rFonts w:ascii="Arial" w:hAnsi="Arial" w:cs="Arial"/>
          <w:b/>
          <w:szCs w:val="24"/>
          <w:u w:val="none"/>
        </w:rPr>
        <w:t xml:space="preserve"> Chief Executive</w:t>
      </w:r>
    </w:p>
    <w:p w:rsidR="0039450A" w:rsidRPr="0089449E" w:rsidRDefault="0039450A" w:rsidP="00416BFF">
      <w:pPr>
        <w:jc w:val="both"/>
        <w:rPr>
          <w:rFonts w:ascii="Arial" w:hAnsi="Arial" w:cs="Arial"/>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39450A" w:rsidRPr="0089449E">
        <w:trPr>
          <w:cantSplit/>
        </w:trPr>
        <w:tc>
          <w:tcPr>
            <w:tcW w:w="9464" w:type="dxa"/>
          </w:tcPr>
          <w:p w:rsidR="0039450A" w:rsidRPr="0089449E" w:rsidRDefault="002B7DC4" w:rsidP="00416BFF">
            <w:pPr>
              <w:pStyle w:val="Heading2"/>
              <w:rPr>
                <w:rFonts w:ascii="Arial" w:hAnsi="Arial" w:cs="Arial"/>
                <w:b/>
                <w:szCs w:val="24"/>
                <w:u w:val="none"/>
              </w:rPr>
            </w:pPr>
            <w:r w:rsidRPr="0089449E">
              <w:rPr>
                <w:rFonts w:ascii="Arial" w:hAnsi="Arial" w:cs="Arial"/>
                <w:b/>
                <w:szCs w:val="24"/>
                <w:u w:val="none"/>
              </w:rPr>
              <w:t>Summary</w:t>
            </w:r>
          </w:p>
          <w:p w:rsidR="002B7DC4" w:rsidRPr="0089449E" w:rsidRDefault="002B7DC4" w:rsidP="002B7DC4">
            <w:pPr>
              <w:rPr>
                <w:rFonts w:ascii="Arial" w:hAnsi="Arial" w:cs="Arial"/>
              </w:rPr>
            </w:pPr>
          </w:p>
          <w:p w:rsidR="005C13D9" w:rsidRPr="00B12C74" w:rsidRDefault="00050D22" w:rsidP="00050D22">
            <w:pPr>
              <w:jc w:val="both"/>
              <w:rPr>
                <w:rFonts w:ascii="Arial" w:hAnsi="Arial" w:cs="Arial"/>
                <w:szCs w:val="24"/>
              </w:rPr>
            </w:pPr>
            <w:r w:rsidRPr="008711E9">
              <w:rPr>
                <w:rFonts w:ascii="Arial" w:hAnsi="Arial" w:cs="Arial"/>
                <w:szCs w:val="24"/>
              </w:rPr>
              <w:t xml:space="preserve">The purpose of this report is to </w:t>
            </w:r>
            <w:r w:rsidR="00AE0E89">
              <w:rPr>
                <w:rFonts w:ascii="Arial" w:hAnsi="Arial" w:cs="Arial"/>
                <w:szCs w:val="24"/>
              </w:rPr>
              <w:t xml:space="preserve">provide Directors with information and the opportunity </w:t>
            </w:r>
            <w:r w:rsidR="00AE0E89" w:rsidRPr="00B12C74">
              <w:rPr>
                <w:rFonts w:ascii="Arial" w:hAnsi="Arial" w:cs="Arial"/>
                <w:szCs w:val="24"/>
              </w:rPr>
              <w:t>to discuss issues affecting HLH and its work at an early stage.</w:t>
            </w:r>
          </w:p>
          <w:p w:rsidR="00790E27" w:rsidRPr="00B12C74" w:rsidRDefault="00790E27" w:rsidP="00050D22">
            <w:pPr>
              <w:jc w:val="both"/>
              <w:rPr>
                <w:rFonts w:ascii="Arial" w:hAnsi="Arial" w:cs="Arial"/>
                <w:szCs w:val="24"/>
              </w:rPr>
            </w:pPr>
          </w:p>
          <w:p w:rsidR="0033520A" w:rsidRDefault="00690507" w:rsidP="00690507">
            <w:pPr>
              <w:jc w:val="both"/>
              <w:rPr>
                <w:rFonts w:ascii="Arial" w:hAnsi="Arial" w:cs="Arial"/>
                <w:szCs w:val="24"/>
              </w:rPr>
            </w:pPr>
            <w:r>
              <w:rPr>
                <w:rFonts w:ascii="Arial" w:hAnsi="Arial" w:cs="Arial"/>
                <w:szCs w:val="24"/>
              </w:rPr>
              <w:t xml:space="preserve">It is recommended Directors </w:t>
            </w:r>
            <w:r w:rsidR="0045226F">
              <w:rPr>
                <w:rFonts w:ascii="Arial" w:hAnsi="Arial" w:cs="Arial"/>
                <w:szCs w:val="24"/>
              </w:rPr>
              <w:t>comment on and note the updates</w:t>
            </w:r>
            <w:r>
              <w:rPr>
                <w:rFonts w:ascii="Arial" w:hAnsi="Arial" w:cs="Arial"/>
                <w:szCs w:val="24"/>
              </w:rPr>
              <w:t>.</w:t>
            </w:r>
          </w:p>
          <w:p w:rsidR="00690507" w:rsidRPr="00690507" w:rsidRDefault="00690507" w:rsidP="00690507">
            <w:pPr>
              <w:jc w:val="both"/>
              <w:rPr>
                <w:rFonts w:ascii="Arial" w:hAnsi="Arial" w:cs="Arial"/>
                <w:szCs w:val="24"/>
              </w:rPr>
            </w:pPr>
          </w:p>
        </w:tc>
      </w:tr>
    </w:tbl>
    <w:p w:rsidR="0097099E" w:rsidRPr="0089449E" w:rsidRDefault="0097099E" w:rsidP="00416BFF">
      <w:pPr>
        <w:jc w:val="both"/>
        <w:rPr>
          <w:rFonts w:ascii="Arial" w:hAnsi="Arial" w:cs="Arial"/>
          <w:szCs w:val="24"/>
        </w:rPr>
      </w:pPr>
    </w:p>
    <w:tbl>
      <w:tblPr>
        <w:tblW w:w="9464" w:type="dxa"/>
        <w:tblLayout w:type="fixed"/>
        <w:tblLook w:val="0000" w:firstRow="0" w:lastRow="0" w:firstColumn="0" w:lastColumn="0" w:noHBand="0" w:noVBand="0"/>
      </w:tblPr>
      <w:tblGrid>
        <w:gridCol w:w="817"/>
        <w:gridCol w:w="8647"/>
      </w:tblGrid>
      <w:tr w:rsidR="00A53534" w:rsidRPr="0089449E">
        <w:tc>
          <w:tcPr>
            <w:tcW w:w="817" w:type="dxa"/>
          </w:tcPr>
          <w:p w:rsidR="00A53534" w:rsidRPr="0089449E" w:rsidRDefault="008B4D54" w:rsidP="006D4204">
            <w:pPr>
              <w:rPr>
                <w:rFonts w:ascii="Arial" w:hAnsi="Arial" w:cs="Arial"/>
                <w:b/>
                <w:szCs w:val="24"/>
              </w:rPr>
            </w:pPr>
            <w:r>
              <w:rPr>
                <w:rFonts w:ascii="Arial" w:hAnsi="Arial" w:cs="Arial"/>
                <w:b/>
                <w:szCs w:val="24"/>
              </w:rPr>
              <w:t>1</w:t>
            </w:r>
            <w:r w:rsidR="00A53534" w:rsidRPr="0089449E">
              <w:rPr>
                <w:rFonts w:ascii="Arial" w:hAnsi="Arial" w:cs="Arial"/>
                <w:b/>
                <w:szCs w:val="24"/>
              </w:rPr>
              <w:t>.</w:t>
            </w:r>
          </w:p>
        </w:tc>
        <w:tc>
          <w:tcPr>
            <w:tcW w:w="8647" w:type="dxa"/>
          </w:tcPr>
          <w:p w:rsidR="00A53534" w:rsidRPr="0089449E" w:rsidRDefault="00A53534" w:rsidP="006D4204">
            <w:pPr>
              <w:rPr>
                <w:rFonts w:ascii="Arial" w:hAnsi="Arial" w:cs="Arial"/>
                <w:b/>
              </w:rPr>
            </w:pPr>
            <w:r w:rsidRPr="0089449E">
              <w:rPr>
                <w:rFonts w:ascii="Arial" w:hAnsi="Arial" w:cs="Arial"/>
                <w:b/>
              </w:rPr>
              <w:t>Business Plan Contribution</w:t>
            </w:r>
          </w:p>
          <w:p w:rsidR="00A53534" w:rsidRPr="0089449E" w:rsidRDefault="00A53534" w:rsidP="006D4204">
            <w:pPr>
              <w:rPr>
                <w:rFonts w:ascii="Arial" w:hAnsi="Arial" w:cs="Arial"/>
                <w:szCs w:val="24"/>
              </w:rPr>
            </w:pPr>
          </w:p>
        </w:tc>
      </w:tr>
      <w:tr w:rsidR="00A53534" w:rsidRPr="0089449E">
        <w:tc>
          <w:tcPr>
            <w:tcW w:w="817" w:type="dxa"/>
          </w:tcPr>
          <w:p w:rsidR="00A53534" w:rsidRPr="007161EF" w:rsidRDefault="008B4D54" w:rsidP="006D4204">
            <w:pPr>
              <w:rPr>
                <w:rFonts w:ascii="Arial" w:hAnsi="Arial" w:cs="Arial"/>
                <w:szCs w:val="24"/>
              </w:rPr>
            </w:pPr>
            <w:r>
              <w:rPr>
                <w:rFonts w:ascii="Arial" w:hAnsi="Arial" w:cs="Arial"/>
                <w:szCs w:val="24"/>
              </w:rPr>
              <w:t>1</w:t>
            </w:r>
            <w:r w:rsidR="00A53534" w:rsidRPr="007161EF">
              <w:rPr>
                <w:rFonts w:ascii="Arial" w:hAnsi="Arial" w:cs="Arial"/>
                <w:szCs w:val="24"/>
              </w:rPr>
              <w:t>.1</w:t>
            </w:r>
          </w:p>
        </w:tc>
        <w:tc>
          <w:tcPr>
            <w:tcW w:w="8647" w:type="dxa"/>
          </w:tcPr>
          <w:p w:rsidR="00B26FE3" w:rsidRDefault="00B26FE3" w:rsidP="00540480">
            <w:pPr>
              <w:jc w:val="both"/>
              <w:rPr>
                <w:rFonts w:ascii="Arial" w:hAnsi="Arial" w:cs="Arial"/>
              </w:rPr>
            </w:pPr>
            <w:r>
              <w:rPr>
                <w:rFonts w:ascii="Arial" w:hAnsi="Arial" w:cs="Arial"/>
              </w:rPr>
              <w:t xml:space="preserve">This report supports the </w:t>
            </w:r>
            <w:r w:rsidR="004973CD">
              <w:rPr>
                <w:rFonts w:ascii="Arial" w:hAnsi="Arial" w:cs="Arial"/>
              </w:rPr>
              <w:t xml:space="preserve">highlighted </w:t>
            </w:r>
            <w:r>
              <w:rPr>
                <w:rFonts w:ascii="Arial" w:hAnsi="Arial" w:cs="Arial"/>
              </w:rPr>
              <w:t>Business Outcomes from the High Life Highland (HLH) Business Plan:</w:t>
            </w:r>
          </w:p>
          <w:p w:rsidR="00B26FE3" w:rsidRDefault="00B26FE3" w:rsidP="00540480">
            <w:pPr>
              <w:jc w:val="both"/>
              <w:rPr>
                <w:rFonts w:ascii="Arial" w:hAnsi="Arial" w:cs="Arial"/>
              </w:rPr>
            </w:pPr>
          </w:p>
          <w:p w:rsidR="004A104C" w:rsidRDefault="004A104C" w:rsidP="004A104C">
            <w:pPr>
              <w:pStyle w:val="ListParagraph"/>
              <w:numPr>
                <w:ilvl w:val="0"/>
                <w:numId w:val="1"/>
              </w:numPr>
              <w:spacing w:after="0" w:line="240" w:lineRule="auto"/>
              <w:jc w:val="both"/>
              <w:rPr>
                <w:rFonts w:ascii="Arial" w:hAnsi="Arial" w:cs="Arial"/>
                <w:bCs/>
                <w:sz w:val="24"/>
                <w:szCs w:val="24"/>
              </w:rPr>
            </w:pPr>
            <w:r>
              <w:rPr>
                <w:rFonts w:ascii="Arial" w:hAnsi="Arial" w:cs="Arial"/>
                <w:bCs/>
                <w:sz w:val="24"/>
                <w:szCs w:val="24"/>
              </w:rPr>
              <w:t>Sustain a high standard of health and safety, and environmental performance</w:t>
            </w:r>
          </w:p>
          <w:p w:rsidR="004A104C" w:rsidRPr="000330B6" w:rsidRDefault="004A104C" w:rsidP="004A104C">
            <w:pPr>
              <w:pStyle w:val="ListParagraph"/>
              <w:numPr>
                <w:ilvl w:val="0"/>
                <w:numId w:val="1"/>
              </w:numPr>
              <w:spacing w:after="0" w:line="240" w:lineRule="auto"/>
              <w:jc w:val="both"/>
              <w:rPr>
                <w:rFonts w:ascii="Arial" w:hAnsi="Arial" w:cs="Arial"/>
                <w:b/>
                <w:bCs/>
                <w:sz w:val="24"/>
                <w:szCs w:val="24"/>
              </w:rPr>
            </w:pPr>
            <w:r w:rsidRPr="000330B6">
              <w:rPr>
                <w:rFonts w:ascii="Arial" w:hAnsi="Arial" w:cs="Arial"/>
                <w:b/>
                <w:bCs/>
                <w:sz w:val="24"/>
                <w:szCs w:val="24"/>
              </w:rPr>
              <w:t>Implement the Service Delivery Contract with THC</w:t>
            </w:r>
          </w:p>
          <w:p w:rsidR="004A104C" w:rsidRPr="000330B6" w:rsidRDefault="004A104C" w:rsidP="004A104C">
            <w:pPr>
              <w:pStyle w:val="ListParagraph"/>
              <w:numPr>
                <w:ilvl w:val="0"/>
                <w:numId w:val="1"/>
              </w:numPr>
              <w:spacing w:after="0" w:line="240" w:lineRule="auto"/>
              <w:jc w:val="both"/>
              <w:rPr>
                <w:rFonts w:ascii="Arial" w:hAnsi="Arial" w:cs="Arial"/>
                <w:b/>
                <w:bCs/>
                <w:sz w:val="24"/>
                <w:szCs w:val="24"/>
              </w:rPr>
            </w:pPr>
            <w:r w:rsidRPr="000330B6">
              <w:rPr>
                <w:rFonts w:ascii="Arial" w:hAnsi="Arial" w:cs="Arial"/>
                <w:b/>
                <w:bCs/>
                <w:sz w:val="24"/>
                <w:szCs w:val="24"/>
              </w:rPr>
              <w:t>Improving customer engagement and satisfaction</w:t>
            </w:r>
          </w:p>
          <w:p w:rsidR="004A104C" w:rsidRPr="000330B6" w:rsidRDefault="004A104C" w:rsidP="004A104C">
            <w:pPr>
              <w:pStyle w:val="ListParagraph"/>
              <w:numPr>
                <w:ilvl w:val="0"/>
                <w:numId w:val="1"/>
              </w:numPr>
              <w:spacing w:after="0" w:line="240" w:lineRule="auto"/>
              <w:jc w:val="both"/>
              <w:rPr>
                <w:rFonts w:ascii="Arial" w:hAnsi="Arial" w:cs="Arial"/>
                <w:b/>
                <w:bCs/>
                <w:sz w:val="24"/>
                <w:szCs w:val="24"/>
              </w:rPr>
            </w:pPr>
            <w:r w:rsidRPr="000330B6">
              <w:rPr>
                <w:rFonts w:ascii="Arial" w:hAnsi="Arial" w:cs="Arial"/>
                <w:b/>
                <w:bCs/>
                <w:sz w:val="24"/>
                <w:szCs w:val="24"/>
              </w:rPr>
              <w:t>Improving staff engagement and satisfaction</w:t>
            </w:r>
          </w:p>
          <w:p w:rsidR="004A104C" w:rsidRPr="000330B6" w:rsidRDefault="004A104C" w:rsidP="004A104C">
            <w:pPr>
              <w:pStyle w:val="ListParagraph"/>
              <w:numPr>
                <w:ilvl w:val="0"/>
                <w:numId w:val="1"/>
              </w:numPr>
              <w:spacing w:after="0" w:line="240" w:lineRule="auto"/>
              <w:jc w:val="both"/>
              <w:rPr>
                <w:rFonts w:ascii="Arial" w:hAnsi="Arial" w:cs="Arial"/>
                <w:b/>
                <w:bCs/>
                <w:sz w:val="24"/>
                <w:szCs w:val="24"/>
              </w:rPr>
            </w:pPr>
            <w:r w:rsidRPr="000330B6">
              <w:rPr>
                <w:rFonts w:ascii="Arial" w:hAnsi="Arial" w:cs="Arial"/>
                <w:b/>
                <w:bCs/>
                <w:sz w:val="24"/>
                <w:szCs w:val="24"/>
              </w:rPr>
              <w:t>Enhance the positive charity image</w:t>
            </w:r>
          </w:p>
          <w:p w:rsidR="004A104C" w:rsidRDefault="004A104C" w:rsidP="004A104C">
            <w:pPr>
              <w:pStyle w:val="ListParagraph"/>
              <w:numPr>
                <w:ilvl w:val="0"/>
                <w:numId w:val="1"/>
              </w:numPr>
              <w:spacing w:after="0" w:line="240" w:lineRule="auto"/>
              <w:jc w:val="both"/>
              <w:rPr>
                <w:rFonts w:ascii="Arial" w:hAnsi="Arial" w:cs="Arial"/>
                <w:bCs/>
                <w:sz w:val="24"/>
                <w:szCs w:val="24"/>
              </w:rPr>
            </w:pPr>
            <w:r>
              <w:rPr>
                <w:rFonts w:ascii="Arial" w:hAnsi="Arial" w:cs="Arial"/>
                <w:bCs/>
                <w:sz w:val="24"/>
                <w:szCs w:val="24"/>
              </w:rPr>
              <w:t>Be a trusted and effective partner</w:t>
            </w:r>
          </w:p>
          <w:p w:rsidR="004A104C" w:rsidRDefault="004A104C" w:rsidP="004A104C">
            <w:pPr>
              <w:pStyle w:val="ListParagraph"/>
              <w:numPr>
                <w:ilvl w:val="0"/>
                <w:numId w:val="1"/>
              </w:numPr>
              <w:spacing w:after="0" w:line="240" w:lineRule="auto"/>
              <w:jc w:val="both"/>
              <w:rPr>
                <w:rFonts w:ascii="Arial" w:hAnsi="Arial" w:cs="Arial"/>
                <w:bCs/>
                <w:sz w:val="24"/>
                <w:szCs w:val="24"/>
              </w:rPr>
            </w:pPr>
            <w:r>
              <w:rPr>
                <w:rFonts w:ascii="Arial" w:hAnsi="Arial" w:cs="Arial"/>
                <w:bCs/>
                <w:sz w:val="24"/>
                <w:szCs w:val="24"/>
              </w:rPr>
              <w:t>Achieve sustainable growth across the organisation</w:t>
            </w:r>
          </w:p>
          <w:p w:rsidR="004A104C" w:rsidRPr="000330B6" w:rsidRDefault="004A104C" w:rsidP="004A104C">
            <w:pPr>
              <w:pStyle w:val="ListParagraph"/>
              <w:numPr>
                <w:ilvl w:val="0"/>
                <w:numId w:val="1"/>
              </w:numPr>
              <w:spacing w:after="0" w:line="240" w:lineRule="auto"/>
              <w:jc w:val="both"/>
              <w:rPr>
                <w:rFonts w:ascii="Arial" w:hAnsi="Arial" w:cs="Arial"/>
                <w:b/>
                <w:bCs/>
                <w:sz w:val="24"/>
                <w:szCs w:val="24"/>
              </w:rPr>
            </w:pPr>
            <w:r w:rsidRPr="000330B6">
              <w:rPr>
                <w:rFonts w:ascii="Arial" w:hAnsi="Arial" w:cs="Arial"/>
                <w:b/>
                <w:bCs/>
                <w:sz w:val="24"/>
                <w:szCs w:val="24"/>
              </w:rPr>
              <w:t>Develop health and wellbeing across Highland communities</w:t>
            </w:r>
          </w:p>
          <w:p w:rsidR="004A104C" w:rsidRPr="000330B6" w:rsidRDefault="004A104C" w:rsidP="004A104C">
            <w:pPr>
              <w:pStyle w:val="ListParagraph"/>
              <w:numPr>
                <w:ilvl w:val="0"/>
                <w:numId w:val="1"/>
              </w:numPr>
              <w:spacing w:after="0" w:line="240" w:lineRule="auto"/>
              <w:jc w:val="both"/>
              <w:rPr>
                <w:rFonts w:ascii="Arial" w:hAnsi="Arial" w:cs="Arial"/>
                <w:b/>
                <w:bCs/>
                <w:sz w:val="24"/>
                <w:szCs w:val="24"/>
              </w:rPr>
            </w:pPr>
            <w:r w:rsidRPr="000330B6">
              <w:rPr>
                <w:rFonts w:ascii="Arial" w:hAnsi="Arial" w:cs="Arial"/>
                <w:b/>
                <w:bCs/>
                <w:sz w:val="24"/>
                <w:szCs w:val="24"/>
              </w:rPr>
              <w:t>Develop and promote the High Life brand</w:t>
            </w:r>
          </w:p>
          <w:p w:rsidR="002A11C0" w:rsidRPr="0089449E" w:rsidRDefault="002A11C0" w:rsidP="004A104C">
            <w:pPr>
              <w:pStyle w:val="ListParagraph"/>
              <w:spacing w:after="0" w:line="240" w:lineRule="auto"/>
              <w:ind w:left="819"/>
              <w:jc w:val="both"/>
              <w:rPr>
                <w:rFonts w:ascii="Arial" w:hAnsi="Arial" w:cs="Arial"/>
                <w:b/>
              </w:rPr>
            </w:pPr>
          </w:p>
        </w:tc>
      </w:tr>
      <w:tr w:rsidR="00A53534" w:rsidRPr="0089449E">
        <w:tc>
          <w:tcPr>
            <w:tcW w:w="817" w:type="dxa"/>
          </w:tcPr>
          <w:p w:rsidR="00A53534" w:rsidRPr="0089449E" w:rsidRDefault="008B4D54" w:rsidP="00416BFF">
            <w:pPr>
              <w:rPr>
                <w:rFonts w:ascii="Arial" w:hAnsi="Arial" w:cs="Arial"/>
                <w:b/>
                <w:szCs w:val="24"/>
              </w:rPr>
            </w:pPr>
            <w:r>
              <w:rPr>
                <w:rFonts w:ascii="Arial" w:hAnsi="Arial" w:cs="Arial"/>
                <w:b/>
                <w:szCs w:val="24"/>
              </w:rPr>
              <w:t>2.</w:t>
            </w:r>
          </w:p>
        </w:tc>
        <w:tc>
          <w:tcPr>
            <w:tcW w:w="8647" w:type="dxa"/>
          </w:tcPr>
          <w:p w:rsidR="00A53534" w:rsidRDefault="00D03F91" w:rsidP="002F6788">
            <w:pPr>
              <w:snapToGrid w:val="0"/>
              <w:rPr>
                <w:rFonts w:ascii="Arial" w:hAnsi="Arial" w:cs="Arial"/>
                <w:b/>
              </w:rPr>
            </w:pPr>
            <w:r>
              <w:rPr>
                <w:rFonts w:ascii="Arial" w:hAnsi="Arial" w:cs="Arial"/>
                <w:b/>
              </w:rPr>
              <w:t xml:space="preserve">Opportunities for Directors to Represent HLH </w:t>
            </w:r>
            <w:r w:rsidR="00DA5818">
              <w:rPr>
                <w:rFonts w:ascii="Arial" w:hAnsi="Arial" w:cs="Arial"/>
                <w:b/>
              </w:rPr>
              <w:t>–</w:t>
            </w:r>
            <w:r>
              <w:rPr>
                <w:rFonts w:ascii="Arial" w:hAnsi="Arial" w:cs="Arial"/>
                <w:b/>
              </w:rPr>
              <w:t xml:space="preserve"> Update</w:t>
            </w:r>
          </w:p>
          <w:p w:rsidR="00DA5818" w:rsidRPr="0089449E" w:rsidRDefault="00DA5818" w:rsidP="002F6788">
            <w:pPr>
              <w:snapToGrid w:val="0"/>
              <w:rPr>
                <w:rFonts w:ascii="Arial" w:hAnsi="Arial" w:cs="Arial"/>
                <w:szCs w:val="24"/>
              </w:rPr>
            </w:pPr>
          </w:p>
        </w:tc>
      </w:tr>
      <w:tr w:rsidR="00306BAA" w:rsidRPr="0089449E">
        <w:tc>
          <w:tcPr>
            <w:tcW w:w="817" w:type="dxa"/>
          </w:tcPr>
          <w:p w:rsidR="00306BAA" w:rsidRPr="00306BAA" w:rsidRDefault="00306BAA" w:rsidP="007F5C39">
            <w:pPr>
              <w:rPr>
                <w:rFonts w:ascii="Arial" w:hAnsi="Arial" w:cs="Arial"/>
                <w:szCs w:val="24"/>
              </w:rPr>
            </w:pPr>
            <w:r>
              <w:rPr>
                <w:rFonts w:ascii="Arial" w:hAnsi="Arial" w:cs="Arial"/>
                <w:szCs w:val="24"/>
              </w:rPr>
              <w:t>2.</w:t>
            </w:r>
            <w:r w:rsidR="007F5C39">
              <w:rPr>
                <w:rFonts w:ascii="Arial" w:hAnsi="Arial" w:cs="Arial"/>
                <w:szCs w:val="24"/>
              </w:rPr>
              <w:t>1</w:t>
            </w:r>
          </w:p>
        </w:tc>
        <w:tc>
          <w:tcPr>
            <w:tcW w:w="8647" w:type="dxa"/>
          </w:tcPr>
          <w:p w:rsidR="00306BAA" w:rsidRDefault="00306BAA" w:rsidP="003E73BB">
            <w:pPr>
              <w:snapToGrid w:val="0"/>
              <w:jc w:val="both"/>
              <w:rPr>
                <w:rFonts w:ascii="Arial" w:hAnsi="Arial" w:cs="Arial"/>
              </w:rPr>
            </w:pPr>
            <w:r>
              <w:rPr>
                <w:rFonts w:ascii="Arial" w:hAnsi="Arial" w:cs="Arial"/>
              </w:rPr>
              <w:t>Directors were circulated with invite</w:t>
            </w:r>
            <w:r w:rsidR="006A0F3F">
              <w:rPr>
                <w:rFonts w:ascii="Arial" w:hAnsi="Arial" w:cs="Arial"/>
              </w:rPr>
              <w:t>s to the following events:</w:t>
            </w:r>
          </w:p>
          <w:p w:rsidR="009E72FA" w:rsidRDefault="009E72FA" w:rsidP="003E73BB">
            <w:pPr>
              <w:snapToGrid w:val="0"/>
              <w:jc w:val="both"/>
              <w:rPr>
                <w:rFonts w:ascii="Arial" w:hAnsi="Arial" w:cs="Arial"/>
              </w:rPr>
            </w:pPr>
          </w:p>
          <w:p w:rsidR="00BE155F" w:rsidRDefault="00BE155F" w:rsidP="00610F52">
            <w:pPr>
              <w:pStyle w:val="ListParagraph"/>
              <w:numPr>
                <w:ilvl w:val="0"/>
                <w:numId w:val="35"/>
              </w:numPr>
              <w:snapToGrid w:val="0"/>
              <w:spacing w:line="240" w:lineRule="auto"/>
              <w:ind w:left="714" w:hanging="357"/>
              <w:jc w:val="both"/>
              <w:rPr>
                <w:rFonts w:ascii="Arial" w:hAnsi="Arial" w:cs="Arial"/>
                <w:sz w:val="24"/>
                <w:szCs w:val="24"/>
              </w:rPr>
            </w:pPr>
            <w:r>
              <w:rPr>
                <w:rFonts w:ascii="Arial" w:hAnsi="Arial" w:cs="Arial"/>
                <w:sz w:val="24"/>
                <w:szCs w:val="24"/>
              </w:rPr>
              <w:t>Highland Young Musicians Night of Wind and Strings – 27 March 2019</w:t>
            </w:r>
          </w:p>
          <w:p w:rsidR="00610378" w:rsidRDefault="000A7837" w:rsidP="00610F52">
            <w:pPr>
              <w:pStyle w:val="ListParagraph"/>
              <w:numPr>
                <w:ilvl w:val="0"/>
                <w:numId w:val="35"/>
              </w:numPr>
              <w:snapToGrid w:val="0"/>
              <w:spacing w:line="240" w:lineRule="auto"/>
              <w:ind w:left="714" w:hanging="357"/>
              <w:jc w:val="both"/>
              <w:rPr>
                <w:rFonts w:ascii="Arial" w:hAnsi="Arial" w:cs="Arial"/>
                <w:sz w:val="24"/>
                <w:szCs w:val="24"/>
              </w:rPr>
            </w:pPr>
            <w:r>
              <w:rPr>
                <w:rFonts w:ascii="Arial" w:hAnsi="Arial" w:cs="Arial"/>
                <w:sz w:val="24"/>
                <w:szCs w:val="24"/>
              </w:rPr>
              <w:t>A</w:t>
            </w:r>
            <w:r w:rsidR="00610378">
              <w:rPr>
                <w:rFonts w:ascii="Arial" w:hAnsi="Arial" w:cs="Arial"/>
                <w:sz w:val="24"/>
                <w:szCs w:val="24"/>
              </w:rPr>
              <w:t>nnual Highland Young Musicians Youth Music Festival – 30 March 2019</w:t>
            </w:r>
          </w:p>
          <w:p w:rsidR="009E72FA" w:rsidRDefault="009D4E67" w:rsidP="00610F52">
            <w:pPr>
              <w:pStyle w:val="ListParagraph"/>
              <w:numPr>
                <w:ilvl w:val="0"/>
                <w:numId w:val="35"/>
              </w:numPr>
              <w:snapToGrid w:val="0"/>
              <w:spacing w:line="240" w:lineRule="auto"/>
              <w:ind w:left="714" w:hanging="357"/>
              <w:jc w:val="both"/>
              <w:rPr>
                <w:rFonts w:ascii="Arial" w:hAnsi="Arial" w:cs="Arial"/>
                <w:sz w:val="24"/>
                <w:szCs w:val="24"/>
              </w:rPr>
            </w:pPr>
            <w:r>
              <w:rPr>
                <w:rFonts w:ascii="Arial" w:hAnsi="Arial" w:cs="Arial"/>
                <w:sz w:val="24"/>
                <w:szCs w:val="24"/>
              </w:rPr>
              <w:t>The Gathering, Northern Meeting Park – 1 June 2019</w:t>
            </w:r>
          </w:p>
          <w:p w:rsidR="00791761" w:rsidRDefault="00791761" w:rsidP="00610F52">
            <w:pPr>
              <w:pStyle w:val="ListParagraph"/>
              <w:numPr>
                <w:ilvl w:val="0"/>
                <w:numId w:val="35"/>
              </w:numPr>
              <w:snapToGrid w:val="0"/>
              <w:spacing w:line="240" w:lineRule="auto"/>
              <w:ind w:left="714" w:hanging="357"/>
              <w:jc w:val="both"/>
              <w:rPr>
                <w:rFonts w:ascii="Arial" w:hAnsi="Arial" w:cs="Arial"/>
                <w:sz w:val="24"/>
                <w:szCs w:val="24"/>
              </w:rPr>
            </w:pPr>
            <w:r>
              <w:rPr>
                <w:rFonts w:ascii="Arial" w:hAnsi="Arial" w:cs="Arial"/>
                <w:sz w:val="24"/>
                <w:szCs w:val="24"/>
              </w:rPr>
              <w:t>HLH Inaugural Staff Long Service Awards – 19 June 2019</w:t>
            </w:r>
          </w:p>
          <w:p w:rsidR="00192A32" w:rsidRDefault="00192A32" w:rsidP="00610F52">
            <w:pPr>
              <w:pStyle w:val="ListParagraph"/>
              <w:numPr>
                <w:ilvl w:val="0"/>
                <w:numId w:val="35"/>
              </w:numPr>
              <w:snapToGrid w:val="0"/>
              <w:spacing w:line="240" w:lineRule="auto"/>
              <w:ind w:left="714" w:hanging="357"/>
              <w:jc w:val="both"/>
              <w:rPr>
                <w:rFonts w:ascii="Arial" w:hAnsi="Arial" w:cs="Arial"/>
                <w:sz w:val="24"/>
                <w:szCs w:val="24"/>
              </w:rPr>
            </w:pPr>
            <w:r>
              <w:rPr>
                <w:rFonts w:ascii="Arial" w:hAnsi="Arial" w:cs="Arial"/>
                <w:sz w:val="24"/>
                <w:szCs w:val="24"/>
              </w:rPr>
              <w:t>HLH Annual Staff and Volunteer Awards – 20 June 2019</w:t>
            </w:r>
          </w:p>
          <w:p w:rsidR="00833EB7" w:rsidRDefault="00833EB7" w:rsidP="00610F52">
            <w:pPr>
              <w:pStyle w:val="ListParagraph"/>
              <w:numPr>
                <w:ilvl w:val="0"/>
                <w:numId w:val="35"/>
              </w:numPr>
              <w:snapToGrid w:val="0"/>
              <w:spacing w:line="240" w:lineRule="auto"/>
              <w:ind w:left="714" w:hanging="357"/>
              <w:jc w:val="both"/>
              <w:rPr>
                <w:rFonts w:ascii="Arial" w:hAnsi="Arial" w:cs="Arial"/>
                <w:sz w:val="24"/>
                <w:szCs w:val="24"/>
              </w:rPr>
            </w:pPr>
            <w:r w:rsidRPr="00D540BE">
              <w:rPr>
                <w:rFonts w:ascii="Arial" w:hAnsi="Arial" w:cs="Arial"/>
                <w:sz w:val="24"/>
                <w:szCs w:val="24"/>
              </w:rPr>
              <w:t>H</w:t>
            </w:r>
            <w:r w:rsidR="00D540BE" w:rsidRPr="00D540BE">
              <w:rPr>
                <w:rFonts w:ascii="Arial" w:hAnsi="Arial" w:cs="Arial"/>
                <w:sz w:val="24"/>
                <w:szCs w:val="24"/>
              </w:rPr>
              <w:t>ighland Adult Literacies Partnership event</w:t>
            </w:r>
            <w:r w:rsidRPr="00D540BE">
              <w:rPr>
                <w:rFonts w:ascii="Arial" w:hAnsi="Arial" w:cs="Arial"/>
                <w:sz w:val="24"/>
                <w:szCs w:val="24"/>
              </w:rPr>
              <w:t xml:space="preserve"> – 21 June 2019</w:t>
            </w:r>
          </w:p>
          <w:p w:rsidR="00DD3C91" w:rsidRDefault="00DD3C91" w:rsidP="00610F52">
            <w:pPr>
              <w:pStyle w:val="ListParagraph"/>
              <w:numPr>
                <w:ilvl w:val="0"/>
                <w:numId w:val="35"/>
              </w:numPr>
              <w:snapToGrid w:val="0"/>
              <w:spacing w:line="240" w:lineRule="auto"/>
              <w:ind w:left="714" w:hanging="357"/>
              <w:jc w:val="both"/>
              <w:rPr>
                <w:rFonts w:ascii="Arial" w:hAnsi="Arial" w:cs="Arial"/>
                <w:sz w:val="24"/>
                <w:szCs w:val="24"/>
              </w:rPr>
            </w:pPr>
            <w:r>
              <w:rPr>
                <w:rFonts w:ascii="Arial" w:hAnsi="Arial" w:cs="Arial"/>
                <w:sz w:val="24"/>
                <w:szCs w:val="24"/>
              </w:rPr>
              <w:t>Highland Youth Parliament Conference – 24/25 June 2019</w:t>
            </w:r>
          </w:p>
          <w:p w:rsidR="00DD3C91" w:rsidRPr="00D540BE" w:rsidRDefault="00DD3C91" w:rsidP="00610F52">
            <w:pPr>
              <w:pStyle w:val="ListParagraph"/>
              <w:numPr>
                <w:ilvl w:val="0"/>
                <w:numId w:val="35"/>
              </w:numPr>
              <w:snapToGrid w:val="0"/>
              <w:spacing w:line="240" w:lineRule="auto"/>
              <w:ind w:left="714" w:hanging="357"/>
              <w:jc w:val="both"/>
              <w:rPr>
                <w:rFonts w:ascii="Arial" w:hAnsi="Arial" w:cs="Arial"/>
                <w:sz w:val="24"/>
                <w:szCs w:val="24"/>
              </w:rPr>
            </w:pPr>
            <w:r>
              <w:rPr>
                <w:rFonts w:ascii="Arial" w:hAnsi="Arial" w:cs="Arial"/>
                <w:sz w:val="24"/>
                <w:szCs w:val="24"/>
              </w:rPr>
              <w:t>Piping Inverness – 29 June 2019</w:t>
            </w:r>
          </w:p>
          <w:p w:rsidR="00192A32" w:rsidRPr="00196399" w:rsidRDefault="009D4E67" w:rsidP="00610F52">
            <w:pPr>
              <w:pStyle w:val="ListParagraph"/>
              <w:numPr>
                <w:ilvl w:val="0"/>
                <w:numId w:val="35"/>
              </w:numPr>
              <w:snapToGrid w:val="0"/>
              <w:spacing w:line="240" w:lineRule="auto"/>
              <w:ind w:left="714" w:hanging="357"/>
              <w:jc w:val="both"/>
              <w:rPr>
                <w:rFonts w:ascii="Arial" w:hAnsi="Arial" w:cs="Arial"/>
                <w:sz w:val="24"/>
                <w:szCs w:val="24"/>
              </w:rPr>
            </w:pPr>
            <w:r>
              <w:rPr>
                <w:rFonts w:ascii="Arial" w:hAnsi="Arial" w:cs="Arial"/>
                <w:sz w:val="24"/>
                <w:szCs w:val="24"/>
              </w:rPr>
              <w:t>Red Hot Chilli Pipers – 5 October 2019</w:t>
            </w:r>
          </w:p>
        </w:tc>
      </w:tr>
      <w:tr w:rsidR="00EA6D79" w:rsidRPr="0089449E">
        <w:tc>
          <w:tcPr>
            <w:tcW w:w="817" w:type="dxa"/>
          </w:tcPr>
          <w:p w:rsidR="00EA6D79" w:rsidRDefault="00EA6D79" w:rsidP="00CE65B3">
            <w:pPr>
              <w:autoSpaceDE w:val="0"/>
              <w:autoSpaceDN w:val="0"/>
              <w:adjustRightInd w:val="0"/>
              <w:rPr>
                <w:rFonts w:ascii="Arial" w:hAnsi="Arial" w:cs="Arial"/>
                <w:b/>
              </w:rPr>
            </w:pPr>
            <w:r>
              <w:rPr>
                <w:rFonts w:ascii="Arial" w:hAnsi="Arial" w:cs="Arial"/>
                <w:b/>
              </w:rPr>
              <w:t>3.</w:t>
            </w:r>
          </w:p>
        </w:tc>
        <w:tc>
          <w:tcPr>
            <w:tcW w:w="8647" w:type="dxa"/>
          </w:tcPr>
          <w:p w:rsidR="00EA6D79" w:rsidRDefault="00B850CF" w:rsidP="00CE65B3">
            <w:pPr>
              <w:snapToGrid w:val="0"/>
              <w:rPr>
                <w:rFonts w:ascii="Arial" w:hAnsi="Arial" w:cs="Arial"/>
                <w:b/>
              </w:rPr>
            </w:pPr>
            <w:r>
              <w:rPr>
                <w:rFonts w:ascii="Arial" w:hAnsi="Arial" w:cs="Arial"/>
                <w:b/>
              </w:rPr>
              <w:t xml:space="preserve">Sportscotland funding agreement </w:t>
            </w:r>
          </w:p>
          <w:p w:rsidR="00EA6D79" w:rsidRDefault="00EA6D79" w:rsidP="00CE65B3">
            <w:pPr>
              <w:snapToGrid w:val="0"/>
              <w:rPr>
                <w:rFonts w:ascii="Arial" w:hAnsi="Arial" w:cs="Arial"/>
                <w:b/>
              </w:rPr>
            </w:pPr>
          </w:p>
        </w:tc>
      </w:tr>
      <w:tr w:rsidR="00EA6D79" w:rsidRPr="0089449E">
        <w:tc>
          <w:tcPr>
            <w:tcW w:w="817" w:type="dxa"/>
          </w:tcPr>
          <w:p w:rsidR="00623273" w:rsidRDefault="00BE155F" w:rsidP="00CE65B3">
            <w:pPr>
              <w:autoSpaceDE w:val="0"/>
              <w:autoSpaceDN w:val="0"/>
              <w:adjustRightInd w:val="0"/>
              <w:rPr>
                <w:rFonts w:ascii="Arial" w:hAnsi="Arial" w:cs="Arial"/>
              </w:rPr>
            </w:pPr>
            <w:r>
              <w:rPr>
                <w:rFonts w:ascii="Arial" w:hAnsi="Arial" w:cs="Arial"/>
              </w:rPr>
              <w:t>3.1</w:t>
            </w:r>
          </w:p>
          <w:p w:rsidR="00623273" w:rsidRDefault="00623273" w:rsidP="00CE65B3">
            <w:pPr>
              <w:autoSpaceDE w:val="0"/>
              <w:autoSpaceDN w:val="0"/>
              <w:adjustRightInd w:val="0"/>
              <w:rPr>
                <w:rFonts w:ascii="Arial" w:hAnsi="Arial" w:cs="Arial"/>
              </w:rPr>
            </w:pPr>
          </w:p>
          <w:p w:rsidR="00623273" w:rsidRPr="00AC77DC" w:rsidRDefault="00623273" w:rsidP="00CE65B3">
            <w:pPr>
              <w:autoSpaceDE w:val="0"/>
              <w:autoSpaceDN w:val="0"/>
              <w:adjustRightInd w:val="0"/>
              <w:rPr>
                <w:rFonts w:ascii="Arial" w:hAnsi="Arial" w:cs="Arial"/>
              </w:rPr>
            </w:pPr>
          </w:p>
        </w:tc>
        <w:tc>
          <w:tcPr>
            <w:tcW w:w="8647" w:type="dxa"/>
          </w:tcPr>
          <w:p w:rsidR="002C1270" w:rsidRDefault="00062F53" w:rsidP="00B850CF">
            <w:pPr>
              <w:jc w:val="both"/>
              <w:rPr>
                <w:rFonts w:ascii="Arial" w:hAnsi="Arial" w:cs="Arial"/>
                <w:szCs w:val="24"/>
              </w:rPr>
            </w:pPr>
            <w:r>
              <w:rPr>
                <w:rFonts w:ascii="Arial" w:hAnsi="Arial" w:cs="Arial"/>
                <w:szCs w:val="24"/>
              </w:rPr>
              <w:t xml:space="preserve">The relationship with sportscotland continues to be strong.  </w:t>
            </w:r>
            <w:r w:rsidR="00B850CF">
              <w:rPr>
                <w:rFonts w:ascii="Arial" w:hAnsi="Arial" w:cs="Arial"/>
                <w:szCs w:val="24"/>
              </w:rPr>
              <w:t xml:space="preserve">A new 4 year investment has been confirmed by sportscotland, the major funding contributor for the Active Schools programme.  An annual </w:t>
            </w:r>
            <w:r>
              <w:rPr>
                <w:rFonts w:ascii="Arial" w:hAnsi="Arial" w:cs="Arial"/>
                <w:szCs w:val="24"/>
              </w:rPr>
              <w:t xml:space="preserve">sportscotland </w:t>
            </w:r>
            <w:r w:rsidR="00B850CF">
              <w:rPr>
                <w:rFonts w:ascii="Arial" w:hAnsi="Arial" w:cs="Arial"/>
                <w:szCs w:val="24"/>
              </w:rPr>
              <w:t xml:space="preserve">contribution of </w:t>
            </w:r>
            <w:r>
              <w:rPr>
                <w:rFonts w:ascii="Arial" w:hAnsi="Arial" w:cs="Arial"/>
                <w:szCs w:val="24"/>
              </w:rPr>
              <w:t xml:space="preserve"> </w:t>
            </w:r>
          </w:p>
          <w:p w:rsidR="00B850CF" w:rsidRPr="0089449E" w:rsidRDefault="00B850CF" w:rsidP="00DD3C91">
            <w:pPr>
              <w:jc w:val="both"/>
              <w:rPr>
                <w:rFonts w:ascii="Arial" w:hAnsi="Arial" w:cs="Arial"/>
                <w:szCs w:val="24"/>
              </w:rPr>
            </w:pPr>
            <w:proofErr w:type="gramStart"/>
            <w:r>
              <w:rPr>
                <w:rFonts w:ascii="Arial" w:hAnsi="Arial" w:cs="Arial"/>
                <w:szCs w:val="24"/>
              </w:rPr>
              <w:t>c.£</w:t>
            </w:r>
            <w:proofErr w:type="gramEnd"/>
            <w:r>
              <w:rPr>
                <w:rFonts w:ascii="Arial" w:hAnsi="Arial" w:cs="Arial"/>
                <w:szCs w:val="24"/>
              </w:rPr>
              <w:t xml:space="preserve">1.07M </w:t>
            </w:r>
            <w:r w:rsidR="00062F53">
              <w:rPr>
                <w:rFonts w:ascii="Arial" w:hAnsi="Arial" w:cs="Arial"/>
                <w:szCs w:val="24"/>
              </w:rPr>
              <w:t xml:space="preserve">together with </w:t>
            </w:r>
            <w:r w:rsidR="002C1270">
              <w:rPr>
                <w:rFonts w:ascii="Arial" w:hAnsi="Arial" w:cs="Arial"/>
                <w:szCs w:val="24"/>
              </w:rPr>
              <w:t xml:space="preserve">c£400K from HLH budgets </w:t>
            </w:r>
            <w:r>
              <w:rPr>
                <w:rFonts w:ascii="Arial" w:hAnsi="Arial" w:cs="Arial"/>
                <w:szCs w:val="24"/>
              </w:rPr>
              <w:t>sustains an active school officer presence in each of the 29 associated school groups and Community Sports Hub and Leadership Development Officers.</w:t>
            </w:r>
            <w:r w:rsidR="00062F53">
              <w:rPr>
                <w:rFonts w:ascii="Arial" w:hAnsi="Arial" w:cs="Arial"/>
                <w:szCs w:val="24"/>
              </w:rPr>
              <w:t xml:space="preserve"> </w:t>
            </w:r>
          </w:p>
        </w:tc>
      </w:tr>
      <w:tr w:rsidR="00B850CF" w:rsidRPr="0089449E">
        <w:tc>
          <w:tcPr>
            <w:tcW w:w="817" w:type="dxa"/>
          </w:tcPr>
          <w:p w:rsidR="00B850CF" w:rsidRDefault="00B850CF" w:rsidP="00447094">
            <w:pPr>
              <w:autoSpaceDE w:val="0"/>
              <w:autoSpaceDN w:val="0"/>
              <w:adjustRightInd w:val="0"/>
              <w:rPr>
                <w:rFonts w:ascii="Arial" w:hAnsi="Arial" w:cs="Arial"/>
                <w:b/>
              </w:rPr>
            </w:pPr>
            <w:r>
              <w:rPr>
                <w:rFonts w:ascii="Arial" w:hAnsi="Arial" w:cs="Arial"/>
                <w:b/>
              </w:rPr>
              <w:lastRenderedPageBreak/>
              <w:t xml:space="preserve">4. </w:t>
            </w:r>
          </w:p>
        </w:tc>
        <w:tc>
          <w:tcPr>
            <w:tcW w:w="8647" w:type="dxa"/>
          </w:tcPr>
          <w:p w:rsidR="00B850CF" w:rsidRDefault="00B850CF" w:rsidP="009E72FA">
            <w:pPr>
              <w:autoSpaceDE w:val="0"/>
              <w:autoSpaceDN w:val="0"/>
              <w:adjustRightInd w:val="0"/>
              <w:jc w:val="both"/>
              <w:rPr>
                <w:rFonts w:ascii="Arial" w:hAnsi="Arial" w:cs="Arial"/>
                <w:b/>
              </w:rPr>
            </w:pPr>
            <w:r>
              <w:rPr>
                <w:rFonts w:ascii="Arial" w:hAnsi="Arial" w:cs="Arial"/>
                <w:b/>
              </w:rPr>
              <w:t>Newton Rooms</w:t>
            </w:r>
          </w:p>
          <w:p w:rsidR="00B850CF" w:rsidRDefault="00B850CF" w:rsidP="009E72FA">
            <w:pPr>
              <w:autoSpaceDE w:val="0"/>
              <w:autoSpaceDN w:val="0"/>
              <w:adjustRightInd w:val="0"/>
              <w:jc w:val="both"/>
              <w:rPr>
                <w:rFonts w:ascii="Arial" w:hAnsi="Arial" w:cs="Arial"/>
                <w:b/>
              </w:rPr>
            </w:pPr>
          </w:p>
        </w:tc>
      </w:tr>
      <w:tr w:rsidR="00B850CF" w:rsidRPr="0089449E">
        <w:tc>
          <w:tcPr>
            <w:tcW w:w="817" w:type="dxa"/>
          </w:tcPr>
          <w:p w:rsidR="00B850CF" w:rsidRDefault="00B850CF" w:rsidP="00447094">
            <w:pPr>
              <w:autoSpaceDE w:val="0"/>
              <w:autoSpaceDN w:val="0"/>
              <w:adjustRightInd w:val="0"/>
              <w:rPr>
                <w:rFonts w:ascii="Arial" w:hAnsi="Arial" w:cs="Arial"/>
              </w:rPr>
            </w:pPr>
            <w:r>
              <w:rPr>
                <w:rFonts w:ascii="Arial" w:hAnsi="Arial" w:cs="Arial"/>
              </w:rPr>
              <w:t>4.1</w:t>
            </w:r>
          </w:p>
          <w:p w:rsidR="00B850CF" w:rsidRDefault="00B850CF" w:rsidP="00447094">
            <w:pPr>
              <w:autoSpaceDE w:val="0"/>
              <w:autoSpaceDN w:val="0"/>
              <w:adjustRightInd w:val="0"/>
              <w:rPr>
                <w:rFonts w:ascii="Arial" w:hAnsi="Arial" w:cs="Arial"/>
              </w:rPr>
            </w:pPr>
          </w:p>
          <w:p w:rsidR="00B850CF" w:rsidRDefault="00B850CF" w:rsidP="00447094">
            <w:pPr>
              <w:autoSpaceDE w:val="0"/>
              <w:autoSpaceDN w:val="0"/>
              <w:adjustRightInd w:val="0"/>
              <w:rPr>
                <w:rFonts w:ascii="Arial" w:hAnsi="Arial" w:cs="Arial"/>
              </w:rPr>
            </w:pPr>
          </w:p>
          <w:p w:rsidR="002C1270" w:rsidRDefault="002C1270" w:rsidP="00447094">
            <w:pPr>
              <w:autoSpaceDE w:val="0"/>
              <w:autoSpaceDN w:val="0"/>
              <w:adjustRightInd w:val="0"/>
              <w:rPr>
                <w:rFonts w:ascii="Arial" w:hAnsi="Arial" w:cs="Arial"/>
              </w:rPr>
            </w:pPr>
          </w:p>
          <w:p w:rsidR="00B850CF" w:rsidRDefault="00B850CF" w:rsidP="00447094">
            <w:pPr>
              <w:autoSpaceDE w:val="0"/>
              <w:autoSpaceDN w:val="0"/>
              <w:adjustRightInd w:val="0"/>
              <w:rPr>
                <w:rFonts w:ascii="Arial" w:hAnsi="Arial" w:cs="Arial"/>
              </w:rPr>
            </w:pPr>
            <w:r>
              <w:rPr>
                <w:rFonts w:ascii="Arial" w:hAnsi="Arial" w:cs="Arial"/>
              </w:rPr>
              <w:t>4.2</w:t>
            </w:r>
          </w:p>
          <w:p w:rsidR="00B850CF" w:rsidRDefault="00B850CF" w:rsidP="00447094">
            <w:pPr>
              <w:autoSpaceDE w:val="0"/>
              <w:autoSpaceDN w:val="0"/>
              <w:adjustRightInd w:val="0"/>
              <w:rPr>
                <w:rFonts w:ascii="Arial" w:hAnsi="Arial" w:cs="Arial"/>
              </w:rPr>
            </w:pPr>
          </w:p>
          <w:p w:rsidR="00B850CF" w:rsidRDefault="00B850CF" w:rsidP="00447094">
            <w:pPr>
              <w:autoSpaceDE w:val="0"/>
              <w:autoSpaceDN w:val="0"/>
              <w:adjustRightInd w:val="0"/>
              <w:rPr>
                <w:rFonts w:ascii="Arial" w:hAnsi="Arial" w:cs="Arial"/>
              </w:rPr>
            </w:pPr>
          </w:p>
          <w:p w:rsidR="00B850CF" w:rsidRDefault="00B850CF" w:rsidP="00447094">
            <w:pPr>
              <w:autoSpaceDE w:val="0"/>
              <w:autoSpaceDN w:val="0"/>
              <w:adjustRightInd w:val="0"/>
              <w:rPr>
                <w:rFonts w:ascii="Arial" w:hAnsi="Arial" w:cs="Arial"/>
              </w:rPr>
            </w:pPr>
          </w:p>
          <w:p w:rsidR="00B850CF" w:rsidRDefault="00B850CF" w:rsidP="00447094">
            <w:pPr>
              <w:autoSpaceDE w:val="0"/>
              <w:autoSpaceDN w:val="0"/>
              <w:adjustRightInd w:val="0"/>
              <w:rPr>
                <w:rFonts w:ascii="Arial" w:hAnsi="Arial" w:cs="Arial"/>
              </w:rPr>
            </w:pPr>
          </w:p>
          <w:p w:rsidR="002C1270" w:rsidRDefault="002C1270" w:rsidP="00447094">
            <w:pPr>
              <w:autoSpaceDE w:val="0"/>
              <w:autoSpaceDN w:val="0"/>
              <w:adjustRightInd w:val="0"/>
              <w:rPr>
                <w:rFonts w:ascii="Arial" w:hAnsi="Arial" w:cs="Arial"/>
              </w:rPr>
            </w:pPr>
          </w:p>
          <w:p w:rsidR="002C1270" w:rsidRDefault="002C1270" w:rsidP="00447094">
            <w:pPr>
              <w:autoSpaceDE w:val="0"/>
              <w:autoSpaceDN w:val="0"/>
              <w:adjustRightInd w:val="0"/>
              <w:rPr>
                <w:rFonts w:ascii="Arial" w:hAnsi="Arial" w:cs="Arial"/>
              </w:rPr>
            </w:pPr>
          </w:p>
          <w:p w:rsidR="002C1270" w:rsidRDefault="002C1270" w:rsidP="00447094">
            <w:pPr>
              <w:autoSpaceDE w:val="0"/>
              <w:autoSpaceDN w:val="0"/>
              <w:adjustRightInd w:val="0"/>
              <w:rPr>
                <w:rFonts w:ascii="Arial" w:hAnsi="Arial" w:cs="Arial"/>
              </w:rPr>
            </w:pPr>
          </w:p>
          <w:p w:rsidR="00B850CF" w:rsidRPr="00B850CF" w:rsidRDefault="00B850CF" w:rsidP="00447094">
            <w:pPr>
              <w:autoSpaceDE w:val="0"/>
              <w:autoSpaceDN w:val="0"/>
              <w:adjustRightInd w:val="0"/>
              <w:rPr>
                <w:rFonts w:ascii="Arial" w:hAnsi="Arial" w:cs="Arial"/>
              </w:rPr>
            </w:pPr>
            <w:r>
              <w:rPr>
                <w:rFonts w:ascii="Arial" w:hAnsi="Arial" w:cs="Arial"/>
              </w:rPr>
              <w:t>4.3</w:t>
            </w:r>
          </w:p>
        </w:tc>
        <w:tc>
          <w:tcPr>
            <w:tcW w:w="8647" w:type="dxa"/>
          </w:tcPr>
          <w:p w:rsidR="002C1270" w:rsidRDefault="002C1270" w:rsidP="009E72FA">
            <w:pPr>
              <w:autoSpaceDE w:val="0"/>
              <w:autoSpaceDN w:val="0"/>
              <w:adjustRightInd w:val="0"/>
              <w:jc w:val="both"/>
              <w:rPr>
                <w:rFonts w:ascii="Arial" w:hAnsi="Arial" w:cs="Arial"/>
              </w:rPr>
            </w:pPr>
            <w:r>
              <w:rPr>
                <w:rFonts w:ascii="Arial" w:hAnsi="Arial" w:cs="Arial"/>
              </w:rPr>
              <w:t xml:space="preserve">The </w:t>
            </w:r>
            <w:proofErr w:type="gramStart"/>
            <w:r>
              <w:rPr>
                <w:rFonts w:ascii="Arial" w:hAnsi="Arial" w:cs="Arial"/>
              </w:rPr>
              <w:t>purpose of Newton Rooms are</w:t>
            </w:r>
            <w:proofErr w:type="gramEnd"/>
            <w:r>
              <w:rPr>
                <w:rFonts w:ascii="Arial" w:hAnsi="Arial" w:cs="Arial"/>
              </w:rPr>
              <w:t xml:space="preserve"> to encourage more young people into studies and careers in science, technology, engineering and mathematics (STEM). </w:t>
            </w:r>
          </w:p>
          <w:p w:rsidR="002C1270" w:rsidRDefault="002C1270" w:rsidP="009E72FA">
            <w:pPr>
              <w:autoSpaceDE w:val="0"/>
              <w:autoSpaceDN w:val="0"/>
              <w:adjustRightInd w:val="0"/>
              <w:jc w:val="both"/>
              <w:rPr>
                <w:rFonts w:ascii="Arial" w:hAnsi="Arial" w:cs="Arial"/>
              </w:rPr>
            </w:pPr>
          </w:p>
          <w:p w:rsidR="00B850CF" w:rsidRDefault="00B850CF" w:rsidP="009E72FA">
            <w:pPr>
              <w:autoSpaceDE w:val="0"/>
              <w:autoSpaceDN w:val="0"/>
              <w:adjustRightInd w:val="0"/>
              <w:jc w:val="both"/>
              <w:rPr>
                <w:rFonts w:ascii="Arial" w:hAnsi="Arial" w:cs="Arial"/>
              </w:rPr>
            </w:pPr>
            <w:r>
              <w:rPr>
                <w:rFonts w:ascii="Arial" w:hAnsi="Arial" w:cs="Arial"/>
              </w:rPr>
              <w:t xml:space="preserve">Following the opening </w:t>
            </w:r>
            <w:r w:rsidR="002C1270">
              <w:rPr>
                <w:rFonts w:ascii="Arial" w:hAnsi="Arial" w:cs="Arial"/>
              </w:rPr>
              <w:t xml:space="preserve">of one of Scotland’s first Norwegian style learning centres (Newton Room) </w:t>
            </w:r>
            <w:r>
              <w:rPr>
                <w:rFonts w:ascii="Arial" w:hAnsi="Arial" w:cs="Arial"/>
              </w:rPr>
              <w:t>in HLH’s Youth Area at Caol Community Centre,</w:t>
            </w:r>
            <w:r w:rsidR="002C1270">
              <w:rPr>
                <w:rFonts w:ascii="Arial" w:hAnsi="Arial" w:cs="Arial"/>
              </w:rPr>
              <w:t xml:space="preserve"> Fort William,</w:t>
            </w:r>
            <w:r>
              <w:rPr>
                <w:rFonts w:ascii="Arial" w:hAnsi="Arial" w:cs="Arial"/>
              </w:rPr>
              <w:t xml:space="preserve"> HLH </w:t>
            </w:r>
            <w:r w:rsidR="002C1270">
              <w:rPr>
                <w:rFonts w:ascii="Arial" w:hAnsi="Arial" w:cs="Arial"/>
              </w:rPr>
              <w:t xml:space="preserve">is </w:t>
            </w:r>
            <w:r>
              <w:rPr>
                <w:rFonts w:ascii="Arial" w:hAnsi="Arial" w:cs="Arial"/>
              </w:rPr>
              <w:t>continu</w:t>
            </w:r>
            <w:r w:rsidR="002C1270">
              <w:rPr>
                <w:rFonts w:ascii="Arial" w:hAnsi="Arial" w:cs="Arial"/>
              </w:rPr>
              <w:t>ing</w:t>
            </w:r>
            <w:r>
              <w:rPr>
                <w:rFonts w:ascii="Arial" w:hAnsi="Arial" w:cs="Arial"/>
              </w:rPr>
              <w:t xml:space="preserve"> its support of this initiative </w:t>
            </w:r>
            <w:r w:rsidR="002C1270">
              <w:rPr>
                <w:rFonts w:ascii="Arial" w:hAnsi="Arial" w:cs="Arial"/>
              </w:rPr>
              <w:t xml:space="preserve">along </w:t>
            </w:r>
            <w:r>
              <w:rPr>
                <w:rFonts w:ascii="Arial" w:hAnsi="Arial" w:cs="Arial"/>
              </w:rPr>
              <w:t>with HIE</w:t>
            </w:r>
            <w:r w:rsidR="002C1270">
              <w:rPr>
                <w:rFonts w:ascii="Arial" w:hAnsi="Arial" w:cs="Arial"/>
              </w:rPr>
              <w:t>,</w:t>
            </w:r>
            <w:r>
              <w:rPr>
                <w:rFonts w:ascii="Arial" w:hAnsi="Arial" w:cs="Arial"/>
              </w:rPr>
              <w:t xml:space="preserve"> confirming </w:t>
            </w:r>
            <w:r w:rsidR="002C1270">
              <w:rPr>
                <w:rFonts w:ascii="Arial" w:hAnsi="Arial" w:cs="Arial"/>
              </w:rPr>
              <w:t>and</w:t>
            </w:r>
            <w:r>
              <w:rPr>
                <w:rFonts w:ascii="Arial" w:hAnsi="Arial" w:cs="Arial"/>
              </w:rPr>
              <w:t xml:space="preserve"> approval has been given by the Science Skills Academy (SSA) </w:t>
            </w:r>
            <w:r w:rsidR="002C1270">
              <w:rPr>
                <w:rFonts w:ascii="Arial" w:hAnsi="Arial" w:cs="Arial"/>
              </w:rPr>
              <w:t xml:space="preserve">to </w:t>
            </w:r>
            <w:r>
              <w:rPr>
                <w:rFonts w:ascii="Arial" w:hAnsi="Arial" w:cs="Arial"/>
              </w:rPr>
              <w:t>Dingwall Town Hall becom</w:t>
            </w:r>
            <w:r w:rsidR="002C1270">
              <w:rPr>
                <w:rFonts w:ascii="Arial" w:hAnsi="Arial" w:cs="Arial"/>
              </w:rPr>
              <w:t>ing</w:t>
            </w:r>
            <w:r>
              <w:rPr>
                <w:rFonts w:ascii="Arial" w:hAnsi="Arial" w:cs="Arial"/>
              </w:rPr>
              <w:t xml:space="preserve"> a site for </w:t>
            </w:r>
            <w:r w:rsidR="002C1270">
              <w:rPr>
                <w:rFonts w:ascii="Arial" w:hAnsi="Arial" w:cs="Arial"/>
              </w:rPr>
              <w:t>the next</w:t>
            </w:r>
            <w:r>
              <w:rPr>
                <w:rFonts w:ascii="Arial" w:hAnsi="Arial" w:cs="Arial"/>
              </w:rPr>
              <w:t xml:space="preserve"> Newton Room</w:t>
            </w:r>
            <w:r w:rsidR="002C1270">
              <w:rPr>
                <w:rFonts w:ascii="Arial" w:hAnsi="Arial" w:cs="Arial"/>
              </w:rPr>
              <w:t xml:space="preserve"> in Highland</w:t>
            </w:r>
            <w:r>
              <w:rPr>
                <w:rFonts w:ascii="Arial" w:hAnsi="Arial" w:cs="Arial"/>
              </w:rPr>
              <w:t>.  This will be the third Newton Room in the</w:t>
            </w:r>
            <w:r w:rsidR="002C1270">
              <w:rPr>
                <w:rFonts w:ascii="Arial" w:hAnsi="Arial" w:cs="Arial"/>
              </w:rPr>
              <w:t xml:space="preserve"> Highland area, with the third being placed within Thurso College</w:t>
            </w:r>
            <w:r>
              <w:rPr>
                <w:rFonts w:ascii="Arial" w:hAnsi="Arial" w:cs="Arial"/>
              </w:rPr>
              <w:t>.</w:t>
            </w:r>
          </w:p>
          <w:p w:rsidR="00B850CF" w:rsidRDefault="00B850CF" w:rsidP="009E72FA">
            <w:pPr>
              <w:autoSpaceDE w:val="0"/>
              <w:autoSpaceDN w:val="0"/>
              <w:adjustRightInd w:val="0"/>
              <w:jc w:val="both"/>
              <w:rPr>
                <w:rFonts w:ascii="Arial" w:hAnsi="Arial" w:cs="Arial"/>
              </w:rPr>
            </w:pPr>
          </w:p>
          <w:p w:rsidR="00B850CF" w:rsidRDefault="00B850CF" w:rsidP="009E72FA">
            <w:pPr>
              <w:autoSpaceDE w:val="0"/>
              <w:autoSpaceDN w:val="0"/>
              <w:adjustRightInd w:val="0"/>
              <w:jc w:val="both"/>
              <w:rPr>
                <w:rFonts w:ascii="Arial" w:hAnsi="Arial" w:cs="Arial"/>
              </w:rPr>
            </w:pPr>
            <w:r>
              <w:rPr>
                <w:rFonts w:ascii="Arial" w:hAnsi="Arial" w:cs="Arial"/>
              </w:rPr>
              <w:t>These facilities will become part of a network of Newton Rooms being created in the Highland region by the SSA, a partnership project led by HIE, funded by the Scottish Government with £3M from the Inverness and Highland City-Region deal.  Other organisations involved in the in</w:t>
            </w:r>
            <w:r w:rsidR="00192A32">
              <w:rPr>
                <w:rFonts w:ascii="Arial" w:hAnsi="Arial" w:cs="Arial"/>
              </w:rPr>
              <w:t>i</w:t>
            </w:r>
            <w:r>
              <w:rPr>
                <w:rFonts w:ascii="Arial" w:hAnsi="Arial" w:cs="Arial"/>
              </w:rPr>
              <w:t>tiative include Skills Development Scotland, the University of the Highlands and Islands, The Highland Council and NHS Highland.</w:t>
            </w:r>
          </w:p>
          <w:p w:rsidR="00B850CF" w:rsidRPr="00B850CF" w:rsidRDefault="00B850CF" w:rsidP="009E72FA">
            <w:pPr>
              <w:autoSpaceDE w:val="0"/>
              <w:autoSpaceDN w:val="0"/>
              <w:adjustRightInd w:val="0"/>
              <w:jc w:val="both"/>
              <w:rPr>
                <w:rFonts w:ascii="Arial" w:hAnsi="Arial" w:cs="Arial"/>
              </w:rPr>
            </w:pPr>
          </w:p>
        </w:tc>
      </w:tr>
      <w:tr w:rsidR="00B850CF" w:rsidRPr="0089449E">
        <w:tc>
          <w:tcPr>
            <w:tcW w:w="817" w:type="dxa"/>
          </w:tcPr>
          <w:p w:rsidR="00B850CF" w:rsidRDefault="00B850CF" w:rsidP="00447094">
            <w:pPr>
              <w:autoSpaceDE w:val="0"/>
              <w:autoSpaceDN w:val="0"/>
              <w:adjustRightInd w:val="0"/>
              <w:rPr>
                <w:rFonts w:ascii="Arial" w:hAnsi="Arial" w:cs="Arial"/>
                <w:b/>
              </w:rPr>
            </w:pPr>
            <w:r>
              <w:rPr>
                <w:rFonts w:ascii="Arial" w:hAnsi="Arial" w:cs="Arial"/>
                <w:b/>
              </w:rPr>
              <w:t>5.</w:t>
            </w:r>
          </w:p>
        </w:tc>
        <w:tc>
          <w:tcPr>
            <w:tcW w:w="8647" w:type="dxa"/>
          </w:tcPr>
          <w:p w:rsidR="00B850CF" w:rsidRDefault="00B850CF" w:rsidP="009E72FA">
            <w:pPr>
              <w:autoSpaceDE w:val="0"/>
              <w:autoSpaceDN w:val="0"/>
              <w:adjustRightInd w:val="0"/>
              <w:jc w:val="both"/>
              <w:rPr>
                <w:rFonts w:ascii="Arial" w:hAnsi="Arial" w:cs="Arial"/>
                <w:b/>
              </w:rPr>
            </w:pPr>
            <w:r>
              <w:rPr>
                <w:rFonts w:ascii="Arial" w:hAnsi="Arial" w:cs="Arial"/>
                <w:b/>
              </w:rPr>
              <w:t>Museums – Parliamentary Reception</w:t>
            </w:r>
          </w:p>
          <w:p w:rsidR="00B850CF" w:rsidRDefault="00B850CF" w:rsidP="009E72FA">
            <w:pPr>
              <w:autoSpaceDE w:val="0"/>
              <w:autoSpaceDN w:val="0"/>
              <w:adjustRightInd w:val="0"/>
              <w:jc w:val="both"/>
              <w:rPr>
                <w:rFonts w:ascii="Arial" w:hAnsi="Arial" w:cs="Arial"/>
                <w:b/>
              </w:rPr>
            </w:pPr>
          </w:p>
        </w:tc>
      </w:tr>
      <w:tr w:rsidR="00B850CF" w:rsidRPr="0089449E">
        <w:tc>
          <w:tcPr>
            <w:tcW w:w="817" w:type="dxa"/>
          </w:tcPr>
          <w:p w:rsidR="00B850CF" w:rsidRDefault="00B850CF" w:rsidP="00447094">
            <w:pPr>
              <w:autoSpaceDE w:val="0"/>
              <w:autoSpaceDN w:val="0"/>
              <w:adjustRightInd w:val="0"/>
              <w:rPr>
                <w:rFonts w:ascii="Arial" w:hAnsi="Arial" w:cs="Arial"/>
              </w:rPr>
            </w:pPr>
            <w:r>
              <w:rPr>
                <w:rFonts w:ascii="Arial" w:hAnsi="Arial" w:cs="Arial"/>
              </w:rPr>
              <w:t>5.1</w:t>
            </w:r>
          </w:p>
          <w:p w:rsidR="00192A32" w:rsidRDefault="00192A32" w:rsidP="00447094">
            <w:pPr>
              <w:autoSpaceDE w:val="0"/>
              <w:autoSpaceDN w:val="0"/>
              <w:adjustRightInd w:val="0"/>
              <w:rPr>
                <w:rFonts w:ascii="Arial" w:hAnsi="Arial" w:cs="Arial"/>
              </w:rPr>
            </w:pPr>
          </w:p>
          <w:p w:rsidR="00192A32" w:rsidRDefault="00192A32" w:rsidP="00447094">
            <w:pPr>
              <w:autoSpaceDE w:val="0"/>
              <w:autoSpaceDN w:val="0"/>
              <w:adjustRightInd w:val="0"/>
              <w:rPr>
                <w:rFonts w:ascii="Arial" w:hAnsi="Arial" w:cs="Arial"/>
              </w:rPr>
            </w:pPr>
          </w:p>
          <w:p w:rsidR="00192A32" w:rsidRDefault="00192A32" w:rsidP="00447094">
            <w:pPr>
              <w:autoSpaceDE w:val="0"/>
              <w:autoSpaceDN w:val="0"/>
              <w:adjustRightInd w:val="0"/>
              <w:rPr>
                <w:rFonts w:ascii="Arial" w:hAnsi="Arial" w:cs="Arial"/>
              </w:rPr>
            </w:pPr>
          </w:p>
          <w:p w:rsidR="00192A32" w:rsidRDefault="00192A32" w:rsidP="00447094">
            <w:pPr>
              <w:autoSpaceDE w:val="0"/>
              <w:autoSpaceDN w:val="0"/>
              <w:adjustRightInd w:val="0"/>
              <w:rPr>
                <w:rFonts w:ascii="Arial" w:hAnsi="Arial" w:cs="Arial"/>
              </w:rPr>
            </w:pPr>
          </w:p>
          <w:p w:rsidR="00192A32" w:rsidRDefault="00192A32" w:rsidP="00447094">
            <w:pPr>
              <w:autoSpaceDE w:val="0"/>
              <w:autoSpaceDN w:val="0"/>
              <w:adjustRightInd w:val="0"/>
              <w:rPr>
                <w:rFonts w:ascii="Arial" w:hAnsi="Arial" w:cs="Arial"/>
              </w:rPr>
            </w:pPr>
          </w:p>
          <w:p w:rsidR="00192A32" w:rsidRPr="00B850CF" w:rsidRDefault="00192A32" w:rsidP="00447094">
            <w:pPr>
              <w:autoSpaceDE w:val="0"/>
              <w:autoSpaceDN w:val="0"/>
              <w:adjustRightInd w:val="0"/>
              <w:rPr>
                <w:rFonts w:ascii="Arial" w:hAnsi="Arial" w:cs="Arial"/>
              </w:rPr>
            </w:pPr>
            <w:r>
              <w:rPr>
                <w:rFonts w:ascii="Arial" w:hAnsi="Arial" w:cs="Arial"/>
              </w:rPr>
              <w:t>5.2</w:t>
            </w:r>
          </w:p>
        </w:tc>
        <w:tc>
          <w:tcPr>
            <w:tcW w:w="8647" w:type="dxa"/>
          </w:tcPr>
          <w:p w:rsidR="00192A32" w:rsidRDefault="00192A32" w:rsidP="00192A32">
            <w:pPr>
              <w:jc w:val="both"/>
              <w:rPr>
                <w:rFonts w:ascii="Arial" w:hAnsi="Arial" w:cs="Arial"/>
              </w:rPr>
            </w:pPr>
            <w:r w:rsidRPr="00192A32">
              <w:rPr>
                <w:rFonts w:ascii="Arial" w:hAnsi="Arial" w:cs="Arial"/>
              </w:rPr>
              <w:t>To mark International Museums Day on 14 May Museums &amp; Galleries Scotland</w:t>
            </w:r>
            <w:r>
              <w:rPr>
                <w:rFonts w:ascii="Arial" w:hAnsi="Arial" w:cs="Arial"/>
              </w:rPr>
              <w:t xml:space="preserve"> (MGS) </w:t>
            </w:r>
            <w:r w:rsidRPr="00192A32">
              <w:rPr>
                <w:rFonts w:ascii="Arial" w:hAnsi="Arial" w:cs="Arial"/>
              </w:rPr>
              <w:t>were given a parliamentary reception at Holyrood, hosted by Colin Beattie MSP.</w:t>
            </w:r>
            <w:r>
              <w:rPr>
                <w:rFonts w:ascii="Arial" w:hAnsi="Arial" w:cs="Arial"/>
              </w:rPr>
              <w:t xml:space="preserve">  </w:t>
            </w:r>
            <w:r w:rsidRPr="00192A32">
              <w:rPr>
                <w:rFonts w:ascii="Arial" w:hAnsi="Arial" w:cs="Arial"/>
              </w:rPr>
              <w:t>The aim was to celebrate the contribution museums make to Scottish communities, highlighting the positive effect that they have on people’s lives and well-being and generally advocate for the sector.</w:t>
            </w:r>
          </w:p>
          <w:p w:rsidR="00192A32" w:rsidRDefault="00192A32" w:rsidP="00192A32">
            <w:pPr>
              <w:jc w:val="both"/>
              <w:rPr>
                <w:rFonts w:ascii="Arial" w:hAnsi="Arial" w:cs="Arial"/>
              </w:rPr>
            </w:pPr>
          </w:p>
          <w:p w:rsidR="00192A32" w:rsidRPr="00192A32" w:rsidRDefault="00192A32" w:rsidP="00192A32">
            <w:pPr>
              <w:jc w:val="both"/>
              <w:rPr>
                <w:rFonts w:ascii="Arial" w:hAnsi="Arial" w:cs="Arial"/>
              </w:rPr>
            </w:pPr>
            <w:r w:rsidRPr="00192A32">
              <w:rPr>
                <w:rFonts w:ascii="Arial" w:hAnsi="Arial" w:cs="Arial"/>
              </w:rPr>
              <w:t>MGS invited a number of museum institutions along to present case studies etc. on their work- including I</w:t>
            </w:r>
            <w:r>
              <w:rPr>
                <w:rFonts w:ascii="Arial" w:hAnsi="Arial" w:cs="Arial"/>
              </w:rPr>
              <w:t>nverness Museum and Art Gallery and Highland Folk Museum</w:t>
            </w:r>
            <w:r w:rsidRPr="00192A32">
              <w:rPr>
                <w:rFonts w:ascii="Arial" w:hAnsi="Arial" w:cs="Arial"/>
              </w:rPr>
              <w:t xml:space="preserve"> wh</w:t>
            </w:r>
            <w:r w:rsidR="002C1270">
              <w:rPr>
                <w:rFonts w:ascii="Arial" w:hAnsi="Arial" w:cs="Arial"/>
              </w:rPr>
              <w:t>ich</w:t>
            </w:r>
            <w:r w:rsidRPr="00192A32">
              <w:rPr>
                <w:rFonts w:ascii="Arial" w:hAnsi="Arial" w:cs="Arial"/>
              </w:rPr>
              <w:t xml:space="preserve"> highlighted the two ongoing initiatives  ‘House of Memories’ and ‘</w:t>
            </w:r>
            <w:proofErr w:type="spellStart"/>
            <w:r w:rsidRPr="00192A32">
              <w:rPr>
                <w:rFonts w:ascii="Arial" w:hAnsi="Arial" w:cs="Arial"/>
              </w:rPr>
              <w:t>Shinty</w:t>
            </w:r>
            <w:proofErr w:type="spellEnd"/>
            <w:r w:rsidRPr="00192A32">
              <w:rPr>
                <w:rFonts w:ascii="Arial" w:hAnsi="Arial" w:cs="Arial"/>
              </w:rPr>
              <w:t xml:space="preserve"> Memories and Material Culture’ respectively.</w:t>
            </w:r>
          </w:p>
          <w:p w:rsidR="00B850CF" w:rsidRPr="00B850CF" w:rsidRDefault="00B850CF" w:rsidP="009E72FA">
            <w:pPr>
              <w:autoSpaceDE w:val="0"/>
              <w:autoSpaceDN w:val="0"/>
              <w:adjustRightInd w:val="0"/>
              <w:jc w:val="both"/>
              <w:rPr>
                <w:rFonts w:ascii="Arial" w:hAnsi="Arial" w:cs="Arial"/>
              </w:rPr>
            </w:pPr>
          </w:p>
        </w:tc>
      </w:tr>
      <w:tr w:rsidR="00192A32" w:rsidRPr="0089449E">
        <w:tc>
          <w:tcPr>
            <w:tcW w:w="817" w:type="dxa"/>
          </w:tcPr>
          <w:p w:rsidR="00192A32" w:rsidRDefault="00192A32" w:rsidP="00447094">
            <w:pPr>
              <w:autoSpaceDE w:val="0"/>
              <w:autoSpaceDN w:val="0"/>
              <w:adjustRightInd w:val="0"/>
              <w:rPr>
                <w:rFonts w:ascii="Arial" w:hAnsi="Arial" w:cs="Arial"/>
                <w:b/>
              </w:rPr>
            </w:pPr>
            <w:r>
              <w:rPr>
                <w:rFonts w:ascii="Arial" w:hAnsi="Arial" w:cs="Arial"/>
                <w:b/>
              </w:rPr>
              <w:t>6.</w:t>
            </w:r>
          </w:p>
        </w:tc>
        <w:tc>
          <w:tcPr>
            <w:tcW w:w="8647" w:type="dxa"/>
          </w:tcPr>
          <w:p w:rsidR="00192A32" w:rsidRDefault="00192A32" w:rsidP="009E72FA">
            <w:pPr>
              <w:autoSpaceDE w:val="0"/>
              <w:autoSpaceDN w:val="0"/>
              <w:adjustRightInd w:val="0"/>
              <w:jc w:val="both"/>
              <w:rPr>
                <w:rFonts w:ascii="Arial" w:hAnsi="Arial" w:cs="Arial"/>
                <w:b/>
              </w:rPr>
            </w:pPr>
            <w:r>
              <w:rPr>
                <w:rFonts w:ascii="Arial" w:hAnsi="Arial" w:cs="Arial"/>
                <w:b/>
              </w:rPr>
              <w:t>Staff Recognition</w:t>
            </w:r>
          </w:p>
        </w:tc>
      </w:tr>
      <w:tr w:rsidR="00192A32" w:rsidRPr="0089449E">
        <w:tc>
          <w:tcPr>
            <w:tcW w:w="817" w:type="dxa"/>
          </w:tcPr>
          <w:p w:rsidR="00192A32" w:rsidRPr="00192A32" w:rsidRDefault="00192A32" w:rsidP="00447094">
            <w:pPr>
              <w:autoSpaceDE w:val="0"/>
              <w:autoSpaceDN w:val="0"/>
              <w:adjustRightInd w:val="0"/>
              <w:rPr>
                <w:rFonts w:ascii="Arial" w:hAnsi="Arial" w:cs="Arial"/>
              </w:rPr>
            </w:pPr>
          </w:p>
          <w:p w:rsidR="00192A32" w:rsidRDefault="00192A32" w:rsidP="00447094">
            <w:pPr>
              <w:autoSpaceDE w:val="0"/>
              <w:autoSpaceDN w:val="0"/>
              <w:adjustRightInd w:val="0"/>
              <w:rPr>
                <w:rFonts w:ascii="Arial" w:hAnsi="Arial" w:cs="Arial"/>
              </w:rPr>
            </w:pPr>
            <w:r w:rsidRPr="00192A32">
              <w:rPr>
                <w:rFonts w:ascii="Arial" w:hAnsi="Arial" w:cs="Arial"/>
              </w:rPr>
              <w:t>6.1</w:t>
            </w:r>
          </w:p>
          <w:p w:rsidR="006748F2" w:rsidRDefault="006748F2" w:rsidP="00447094">
            <w:pPr>
              <w:autoSpaceDE w:val="0"/>
              <w:autoSpaceDN w:val="0"/>
              <w:adjustRightInd w:val="0"/>
              <w:rPr>
                <w:rFonts w:ascii="Arial" w:hAnsi="Arial" w:cs="Arial"/>
              </w:rPr>
            </w:pPr>
          </w:p>
          <w:p w:rsidR="006748F2" w:rsidRDefault="006748F2" w:rsidP="00447094">
            <w:pPr>
              <w:autoSpaceDE w:val="0"/>
              <w:autoSpaceDN w:val="0"/>
              <w:adjustRightInd w:val="0"/>
              <w:rPr>
                <w:rFonts w:ascii="Arial" w:hAnsi="Arial" w:cs="Arial"/>
              </w:rPr>
            </w:pPr>
          </w:p>
          <w:p w:rsidR="006748F2" w:rsidRDefault="006748F2" w:rsidP="00447094">
            <w:pPr>
              <w:autoSpaceDE w:val="0"/>
              <w:autoSpaceDN w:val="0"/>
              <w:adjustRightInd w:val="0"/>
              <w:rPr>
                <w:rFonts w:ascii="Arial" w:hAnsi="Arial" w:cs="Arial"/>
              </w:rPr>
            </w:pPr>
          </w:p>
          <w:p w:rsidR="006748F2" w:rsidRDefault="006748F2" w:rsidP="00447094">
            <w:pPr>
              <w:autoSpaceDE w:val="0"/>
              <w:autoSpaceDN w:val="0"/>
              <w:adjustRightInd w:val="0"/>
              <w:rPr>
                <w:rFonts w:ascii="Arial" w:hAnsi="Arial" w:cs="Arial"/>
              </w:rPr>
            </w:pPr>
          </w:p>
          <w:p w:rsidR="006748F2" w:rsidRDefault="006748F2" w:rsidP="00447094">
            <w:pPr>
              <w:autoSpaceDE w:val="0"/>
              <w:autoSpaceDN w:val="0"/>
              <w:adjustRightInd w:val="0"/>
              <w:rPr>
                <w:rFonts w:ascii="Arial" w:hAnsi="Arial" w:cs="Arial"/>
              </w:rPr>
            </w:pPr>
          </w:p>
          <w:p w:rsidR="006748F2" w:rsidRDefault="006748F2" w:rsidP="00447094">
            <w:pPr>
              <w:autoSpaceDE w:val="0"/>
              <w:autoSpaceDN w:val="0"/>
              <w:adjustRightInd w:val="0"/>
              <w:rPr>
                <w:rFonts w:ascii="Arial" w:hAnsi="Arial" w:cs="Arial"/>
              </w:rPr>
            </w:pPr>
          </w:p>
          <w:p w:rsidR="006748F2" w:rsidRDefault="006748F2" w:rsidP="00447094">
            <w:pPr>
              <w:autoSpaceDE w:val="0"/>
              <w:autoSpaceDN w:val="0"/>
              <w:adjustRightInd w:val="0"/>
              <w:rPr>
                <w:rFonts w:ascii="Arial" w:hAnsi="Arial" w:cs="Arial"/>
              </w:rPr>
            </w:pPr>
          </w:p>
          <w:p w:rsidR="006748F2" w:rsidRDefault="006748F2" w:rsidP="00447094">
            <w:pPr>
              <w:autoSpaceDE w:val="0"/>
              <w:autoSpaceDN w:val="0"/>
              <w:adjustRightInd w:val="0"/>
              <w:rPr>
                <w:rFonts w:ascii="Arial" w:hAnsi="Arial" w:cs="Arial"/>
              </w:rPr>
            </w:pPr>
          </w:p>
          <w:p w:rsidR="006748F2" w:rsidRDefault="006748F2" w:rsidP="00447094">
            <w:pPr>
              <w:autoSpaceDE w:val="0"/>
              <w:autoSpaceDN w:val="0"/>
              <w:adjustRightInd w:val="0"/>
              <w:rPr>
                <w:rFonts w:ascii="Arial" w:hAnsi="Arial" w:cs="Arial"/>
              </w:rPr>
            </w:pPr>
          </w:p>
          <w:p w:rsidR="006748F2" w:rsidRDefault="006748F2" w:rsidP="00447094">
            <w:pPr>
              <w:autoSpaceDE w:val="0"/>
              <w:autoSpaceDN w:val="0"/>
              <w:adjustRightInd w:val="0"/>
              <w:rPr>
                <w:rFonts w:ascii="Arial" w:hAnsi="Arial" w:cs="Arial"/>
              </w:rPr>
            </w:pPr>
          </w:p>
          <w:p w:rsidR="006748F2" w:rsidRDefault="006748F2" w:rsidP="00447094">
            <w:pPr>
              <w:autoSpaceDE w:val="0"/>
              <w:autoSpaceDN w:val="0"/>
              <w:adjustRightInd w:val="0"/>
              <w:rPr>
                <w:rFonts w:ascii="Arial" w:hAnsi="Arial" w:cs="Arial"/>
              </w:rPr>
            </w:pPr>
          </w:p>
          <w:p w:rsidR="006748F2" w:rsidRDefault="006748F2" w:rsidP="00447094">
            <w:pPr>
              <w:autoSpaceDE w:val="0"/>
              <w:autoSpaceDN w:val="0"/>
              <w:adjustRightInd w:val="0"/>
              <w:rPr>
                <w:rFonts w:ascii="Arial" w:hAnsi="Arial" w:cs="Arial"/>
              </w:rPr>
            </w:pPr>
          </w:p>
          <w:p w:rsidR="006748F2" w:rsidRDefault="006748F2" w:rsidP="00447094">
            <w:pPr>
              <w:autoSpaceDE w:val="0"/>
              <w:autoSpaceDN w:val="0"/>
              <w:adjustRightInd w:val="0"/>
              <w:rPr>
                <w:rFonts w:ascii="Arial" w:hAnsi="Arial" w:cs="Arial"/>
              </w:rPr>
            </w:pPr>
          </w:p>
          <w:p w:rsidR="006748F2" w:rsidRDefault="006748F2" w:rsidP="00447094">
            <w:pPr>
              <w:autoSpaceDE w:val="0"/>
              <w:autoSpaceDN w:val="0"/>
              <w:adjustRightInd w:val="0"/>
              <w:rPr>
                <w:rFonts w:ascii="Arial" w:hAnsi="Arial" w:cs="Arial"/>
              </w:rPr>
            </w:pPr>
          </w:p>
          <w:p w:rsidR="006748F2" w:rsidRPr="00192A32" w:rsidRDefault="006748F2" w:rsidP="00447094">
            <w:pPr>
              <w:autoSpaceDE w:val="0"/>
              <w:autoSpaceDN w:val="0"/>
              <w:adjustRightInd w:val="0"/>
              <w:rPr>
                <w:rFonts w:ascii="Arial" w:hAnsi="Arial" w:cs="Arial"/>
              </w:rPr>
            </w:pPr>
          </w:p>
        </w:tc>
        <w:tc>
          <w:tcPr>
            <w:tcW w:w="8647" w:type="dxa"/>
          </w:tcPr>
          <w:p w:rsidR="00192A32" w:rsidRDefault="00192A32" w:rsidP="009E72FA">
            <w:pPr>
              <w:autoSpaceDE w:val="0"/>
              <w:autoSpaceDN w:val="0"/>
              <w:adjustRightInd w:val="0"/>
              <w:jc w:val="both"/>
              <w:rPr>
                <w:rFonts w:ascii="Arial" w:hAnsi="Arial" w:cs="Arial"/>
              </w:rPr>
            </w:pPr>
          </w:p>
          <w:p w:rsidR="006748F2" w:rsidRPr="006748F2" w:rsidRDefault="006748F2" w:rsidP="006748F2">
            <w:pPr>
              <w:spacing w:after="120"/>
              <w:ind w:left="34"/>
              <w:jc w:val="both"/>
              <w:rPr>
                <w:rFonts w:ascii="Arial" w:eastAsiaTheme="minorHAnsi" w:hAnsi="Arial" w:cs="Arial"/>
                <w:szCs w:val="24"/>
                <w:lang w:eastAsia="en-US"/>
              </w:rPr>
            </w:pPr>
            <w:r w:rsidRPr="006748F2">
              <w:rPr>
                <w:rFonts w:ascii="Arial" w:eastAsiaTheme="minorHAnsi" w:hAnsi="Arial" w:cs="Arial"/>
                <w:szCs w:val="24"/>
                <w:lang w:eastAsia="en-US"/>
              </w:rPr>
              <w:t xml:space="preserve">Every year Youth Link Scotland, the national agency for youth work, hosts the </w:t>
            </w:r>
            <w:r w:rsidRPr="006748F2">
              <w:rPr>
                <w:rFonts w:ascii="Arial" w:eastAsiaTheme="minorHAnsi" w:hAnsi="Arial" w:cs="Arial"/>
                <w:b/>
                <w:szCs w:val="24"/>
                <w:lang w:eastAsia="en-US"/>
              </w:rPr>
              <w:t>National Youth Work Awards.</w:t>
            </w:r>
            <w:r w:rsidRPr="006748F2">
              <w:rPr>
                <w:rFonts w:ascii="Arial" w:eastAsiaTheme="minorHAnsi" w:hAnsi="Arial" w:cs="Arial"/>
                <w:szCs w:val="24"/>
                <w:lang w:eastAsia="en-US"/>
              </w:rPr>
              <w:t xml:space="preserve"> The event celebrates youth work and the youth workers who make a difference in the lives of young people.  This year John Taylor, HLH Area Youth Services Officer, was shortlisted in the “Digital Youth Work” category. </w:t>
            </w:r>
          </w:p>
          <w:p w:rsidR="006748F2" w:rsidRPr="006748F2" w:rsidRDefault="006748F2" w:rsidP="006748F2">
            <w:pPr>
              <w:spacing w:after="120"/>
              <w:ind w:left="34"/>
              <w:jc w:val="both"/>
              <w:rPr>
                <w:rFonts w:ascii="Arial" w:eastAsiaTheme="minorHAnsi" w:hAnsi="Arial" w:cs="Arial"/>
                <w:szCs w:val="24"/>
                <w:lang w:eastAsia="en-US"/>
              </w:rPr>
            </w:pPr>
            <w:r w:rsidRPr="006748F2">
              <w:rPr>
                <w:rFonts w:ascii="Arial" w:eastAsiaTheme="minorHAnsi" w:hAnsi="Arial" w:cs="Arial"/>
                <w:szCs w:val="24"/>
                <w:lang w:eastAsia="en-US"/>
              </w:rPr>
              <w:t>Throughout 2018 John supported a group of young people – some of the ambassadors for the Year of Young People (</w:t>
            </w:r>
            <w:proofErr w:type="spellStart"/>
            <w:r w:rsidRPr="006748F2">
              <w:rPr>
                <w:rFonts w:ascii="Arial" w:eastAsiaTheme="minorHAnsi" w:hAnsi="Arial" w:cs="Arial"/>
                <w:szCs w:val="24"/>
                <w:lang w:eastAsia="en-US"/>
              </w:rPr>
              <w:t>YoYP</w:t>
            </w:r>
            <w:proofErr w:type="spellEnd"/>
            <w:r w:rsidRPr="006748F2">
              <w:rPr>
                <w:rFonts w:ascii="Arial" w:eastAsiaTheme="minorHAnsi" w:hAnsi="Arial" w:cs="Arial"/>
                <w:szCs w:val="24"/>
                <w:lang w:eastAsia="en-US"/>
              </w:rPr>
              <w:t xml:space="preserve">) in Highland - who wanted to show the world what it is like to be young in Highland. They developed and ran 3 dedicated social media platforms for </w:t>
            </w:r>
            <w:proofErr w:type="spellStart"/>
            <w:r w:rsidRPr="006748F2">
              <w:rPr>
                <w:rFonts w:ascii="Arial" w:eastAsiaTheme="minorHAnsi" w:hAnsi="Arial" w:cs="Arial"/>
                <w:szCs w:val="24"/>
                <w:lang w:eastAsia="en-US"/>
              </w:rPr>
              <w:t>YoYP</w:t>
            </w:r>
            <w:proofErr w:type="spellEnd"/>
            <w:r w:rsidRPr="006748F2">
              <w:rPr>
                <w:rFonts w:ascii="Arial" w:eastAsiaTheme="minorHAnsi" w:hAnsi="Arial" w:cs="Arial"/>
                <w:szCs w:val="24"/>
                <w:lang w:eastAsia="en-US"/>
              </w:rPr>
              <w:t>: Facebook, Instagram and Twitter.</w:t>
            </w:r>
          </w:p>
          <w:p w:rsidR="006748F2" w:rsidRDefault="006748F2" w:rsidP="00610F52">
            <w:pPr>
              <w:ind w:left="34"/>
              <w:jc w:val="both"/>
              <w:rPr>
                <w:rFonts w:ascii="Arial" w:eastAsia="Calibri" w:hAnsi="Arial" w:cs="Arial"/>
                <w:bCs/>
                <w:szCs w:val="24"/>
                <w:lang w:eastAsia="en-US"/>
              </w:rPr>
            </w:pPr>
            <w:r w:rsidRPr="006748F2">
              <w:rPr>
                <w:rFonts w:ascii="Arial" w:eastAsia="Calibri" w:hAnsi="Arial" w:cs="Arial"/>
                <w:bCs/>
                <w:szCs w:val="24"/>
                <w:lang w:eastAsia="en-US"/>
              </w:rPr>
              <w:t xml:space="preserve">Based upon and supported by sector leading youth work practice surrounding HLH digital participation from </w:t>
            </w:r>
            <w:proofErr w:type="spellStart"/>
            <w:r w:rsidRPr="006748F2">
              <w:rPr>
                <w:rFonts w:ascii="Arial" w:eastAsia="Calibri" w:hAnsi="Arial" w:cs="Arial"/>
                <w:bCs/>
                <w:szCs w:val="24"/>
                <w:lang w:eastAsia="en-US"/>
              </w:rPr>
              <w:t>YoYP</w:t>
            </w:r>
            <w:proofErr w:type="spellEnd"/>
            <w:r w:rsidRPr="006748F2">
              <w:rPr>
                <w:rFonts w:ascii="Arial" w:eastAsia="Calibri" w:hAnsi="Arial" w:cs="Arial"/>
                <w:bCs/>
                <w:szCs w:val="24"/>
                <w:lang w:eastAsia="en-US"/>
              </w:rPr>
              <w:t xml:space="preserve"> 2018, John then applied to be part of the Youth Link Scotland delegation at the Finnish Youth Work Conference in Turku, Finland in late March and after a rigorous selection process was the sole Scottish Local Authority Youth Work representative at the event.</w:t>
            </w:r>
          </w:p>
          <w:p w:rsidR="00DD3C91" w:rsidRPr="00610F52" w:rsidRDefault="00DD3C91" w:rsidP="00610F52">
            <w:pPr>
              <w:ind w:left="34"/>
              <w:jc w:val="both"/>
              <w:rPr>
                <w:rFonts w:ascii="Arial" w:eastAsia="Calibri" w:hAnsi="Arial" w:cs="Arial"/>
                <w:bCs/>
                <w:szCs w:val="24"/>
                <w:lang w:eastAsia="en-US"/>
              </w:rPr>
            </w:pPr>
          </w:p>
        </w:tc>
      </w:tr>
      <w:tr w:rsidR="00833EB7" w:rsidRPr="0089449E">
        <w:tc>
          <w:tcPr>
            <w:tcW w:w="817" w:type="dxa"/>
          </w:tcPr>
          <w:p w:rsidR="00833EB7" w:rsidRPr="00833EB7" w:rsidRDefault="00833EB7" w:rsidP="00447094">
            <w:pPr>
              <w:autoSpaceDE w:val="0"/>
              <w:autoSpaceDN w:val="0"/>
              <w:adjustRightInd w:val="0"/>
              <w:rPr>
                <w:rFonts w:ascii="Arial" w:hAnsi="Arial" w:cs="Arial"/>
              </w:rPr>
            </w:pPr>
            <w:r w:rsidRPr="00833EB7">
              <w:rPr>
                <w:rFonts w:ascii="Arial" w:hAnsi="Arial" w:cs="Arial"/>
              </w:rPr>
              <w:lastRenderedPageBreak/>
              <w:t>6.2</w:t>
            </w:r>
          </w:p>
        </w:tc>
        <w:tc>
          <w:tcPr>
            <w:tcW w:w="8647" w:type="dxa"/>
          </w:tcPr>
          <w:p w:rsidR="00610F52" w:rsidRDefault="00610F52" w:rsidP="00610F52">
            <w:pPr>
              <w:autoSpaceDE w:val="0"/>
              <w:autoSpaceDN w:val="0"/>
              <w:jc w:val="both"/>
              <w:rPr>
                <w:rFonts w:ascii="Arial" w:hAnsi="Arial" w:cs="Arial"/>
              </w:rPr>
            </w:pPr>
            <w:r>
              <w:rPr>
                <w:rFonts w:ascii="Arial" w:hAnsi="Arial" w:cs="Arial"/>
                <w:b/>
                <w:bCs/>
              </w:rPr>
              <w:t>Community Leisure UK Awards</w:t>
            </w:r>
            <w:r>
              <w:rPr>
                <w:rFonts w:ascii="Arial" w:hAnsi="Arial" w:cs="Arial"/>
              </w:rPr>
              <w:t xml:space="preserve"> – at the end of May, HLH young people’s volunteering Leadership Programme won the Innovation award at the bi-annual Community Leisure UK Awards ceremony in Manchester. Directors will be aware that the Programme supports young people from senior primary age onwards to help out, plan, lead and train other young people in activity, with the opportunity to gain formal qualifications along the way.  With over 2,500 young people in or having been through the Programme, it is growing rapidly each year.  </w:t>
            </w:r>
          </w:p>
          <w:p w:rsidR="00610F52" w:rsidRDefault="00610F52" w:rsidP="00610F52">
            <w:pPr>
              <w:autoSpaceDE w:val="0"/>
              <w:autoSpaceDN w:val="0"/>
              <w:jc w:val="both"/>
              <w:rPr>
                <w:rFonts w:ascii="Arial" w:hAnsi="Arial" w:cs="Arial"/>
              </w:rPr>
            </w:pPr>
          </w:p>
          <w:p w:rsidR="00610F52" w:rsidRDefault="00610F52" w:rsidP="00610F52">
            <w:pPr>
              <w:autoSpaceDE w:val="0"/>
              <w:autoSpaceDN w:val="0"/>
              <w:jc w:val="both"/>
              <w:rPr>
                <w:rFonts w:ascii="Arial" w:hAnsi="Arial" w:cs="Arial"/>
              </w:rPr>
            </w:pPr>
            <w:r>
              <w:rPr>
                <w:rFonts w:ascii="Arial" w:hAnsi="Arial" w:cs="Arial"/>
              </w:rPr>
              <w:t xml:space="preserve">The Programme has been developed and led via the Active Schools team, supported by sportscotland and has now grown to be offered through all services delivered by HLH.  Libraries for example has seen significant growth in young leaders this year and there is huge potential for the music tuition service to run with it in the next few years </w:t>
            </w:r>
          </w:p>
          <w:p w:rsidR="00610F52" w:rsidRDefault="00610F52" w:rsidP="00610F52">
            <w:pPr>
              <w:autoSpaceDE w:val="0"/>
              <w:autoSpaceDN w:val="0"/>
              <w:jc w:val="both"/>
              <w:rPr>
                <w:rFonts w:ascii="Arial" w:hAnsi="Arial" w:cs="Arial"/>
              </w:rPr>
            </w:pPr>
          </w:p>
          <w:p w:rsidR="00610F52" w:rsidRDefault="00610F52" w:rsidP="00610F52">
            <w:pPr>
              <w:autoSpaceDE w:val="0"/>
              <w:autoSpaceDN w:val="0"/>
              <w:jc w:val="both"/>
              <w:rPr>
                <w:rFonts w:ascii="Arial" w:hAnsi="Arial" w:cs="Arial"/>
              </w:rPr>
            </w:pPr>
            <w:r>
              <w:rPr>
                <w:rFonts w:ascii="Arial" w:hAnsi="Arial" w:cs="Arial"/>
              </w:rPr>
              <w:t xml:space="preserve">The next step forward is that an HLH developed qualification has just received formal SQA certification and HLH will be able to start to offer the HLH branded qualification from the next intake in August.  This also opens to potential for the [HLH branded] qualification to be offered on a national basis in the future – of this, more </w:t>
            </w:r>
            <w:proofErr w:type="gramStart"/>
            <w:r>
              <w:rPr>
                <w:rFonts w:ascii="Arial" w:hAnsi="Arial" w:cs="Arial"/>
              </w:rPr>
              <w:t>later</w:t>
            </w:r>
            <w:proofErr w:type="gramEnd"/>
            <w:r>
              <w:rPr>
                <w:rFonts w:ascii="Arial" w:hAnsi="Arial" w:cs="Arial"/>
              </w:rPr>
              <w:t>…</w:t>
            </w:r>
          </w:p>
          <w:p w:rsidR="00610F52" w:rsidRDefault="00610F52" w:rsidP="00610F52">
            <w:pPr>
              <w:autoSpaceDE w:val="0"/>
              <w:autoSpaceDN w:val="0"/>
              <w:jc w:val="both"/>
              <w:rPr>
                <w:rFonts w:ascii="Arial" w:hAnsi="Arial" w:cs="Arial"/>
              </w:rPr>
            </w:pPr>
          </w:p>
          <w:p w:rsidR="00610F52" w:rsidRDefault="00610F52" w:rsidP="00610F52">
            <w:pPr>
              <w:autoSpaceDE w:val="0"/>
              <w:autoSpaceDN w:val="0"/>
              <w:jc w:val="both"/>
              <w:rPr>
                <w:rFonts w:ascii="Arial" w:hAnsi="Arial" w:cs="Arial"/>
              </w:rPr>
            </w:pPr>
            <w:r>
              <w:rPr>
                <w:rFonts w:ascii="Arial" w:hAnsi="Arial" w:cs="Arial"/>
              </w:rPr>
              <w:t xml:space="preserve">Many staff and managers have contributed to the success of the Programme but the originator and now full time development officer for it is Elizabeth MacDonald.  </w:t>
            </w:r>
          </w:p>
          <w:p w:rsidR="00833EB7" w:rsidRPr="00833EB7" w:rsidRDefault="00833EB7" w:rsidP="009E72FA">
            <w:pPr>
              <w:autoSpaceDE w:val="0"/>
              <w:autoSpaceDN w:val="0"/>
              <w:adjustRightInd w:val="0"/>
              <w:jc w:val="both"/>
              <w:rPr>
                <w:rFonts w:ascii="Arial" w:hAnsi="Arial" w:cs="Arial"/>
              </w:rPr>
            </w:pPr>
          </w:p>
        </w:tc>
      </w:tr>
      <w:tr w:rsidR="00B850CF" w:rsidRPr="0089449E">
        <w:tc>
          <w:tcPr>
            <w:tcW w:w="817" w:type="dxa"/>
          </w:tcPr>
          <w:p w:rsidR="00B850CF" w:rsidRDefault="00833EB7" w:rsidP="00447094">
            <w:pPr>
              <w:autoSpaceDE w:val="0"/>
              <w:autoSpaceDN w:val="0"/>
              <w:adjustRightInd w:val="0"/>
              <w:rPr>
                <w:rFonts w:ascii="Arial" w:hAnsi="Arial" w:cs="Arial"/>
                <w:b/>
              </w:rPr>
            </w:pPr>
            <w:r>
              <w:rPr>
                <w:rFonts w:ascii="Arial" w:hAnsi="Arial" w:cs="Arial"/>
                <w:b/>
              </w:rPr>
              <w:t>7</w:t>
            </w:r>
            <w:r w:rsidR="00192A32">
              <w:rPr>
                <w:rFonts w:ascii="Arial" w:hAnsi="Arial" w:cs="Arial"/>
                <w:b/>
              </w:rPr>
              <w:t>.</w:t>
            </w:r>
          </w:p>
        </w:tc>
        <w:tc>
          <w:tcPr>
            <w:tcW w:w="8647" w:type="dxa"/>
          </w:tcPr>
          <w:p w:rsidR="00B850CF" w:rsidRDefault="00B850CF" w:rsidP="009E72FA">
            <w:pPr>
              <w:autoSpaceDE w:val="0"/>
              <w:autoSpaceDN w:val="0"/>
              <w:adjustRightInd w:val="0"/>
              <w:jc w:val="both"/>
              <w:rPr>
                <w:rFonts w:ascii="Arial" w:hAnsi="Arial" w:cs="Arial"/>
                <w:b/>
              </w:rPr>
            </w:pPr>
            <w:r>
              <w:rPr>
                <w:rFonts w:ascii="Arial" w:hAnsi="Arial" w:cs="Arial"/>
                <w:b/>
              </w:rPr>
              <w:t>Lochalsh Leisure</w:t>
            </w:r>
          </w:p>
        </w:tc>
      </w:tr>
      <w:tr w:rsidR="00833EB7" w:rsidRPr="0089449E">
        <w:tc>
          <w:tcPr>
            <w:tcW w:w="817" w:type="dxa"/>
          </w:tcPr>
          <w:p w:rsidR="00833EB7" w:rsidRDefault="00833EB7" w:rsidP="00447094">
            <w:pPr>
              <w:autoSpaceDE w:val="0"/>
              <w:autoSpaceDN w:val="0"/>
              <w:adjustRightInd w:val="0"/>
              <w:rPr>
                <w:rFonts w:ascii="Arial" w:hAnsi="Arial" w:cs="Arial"/>
                <w:b/>
              </w:rPr>
            </w:pPr>
          </w:p>
          <w:p w:rsidR="00833EB7" w:rsidRPr="00833EB7" w:rsidRDefault="00833EB7" w:rsidP="00447094">
            <w:pPr>
              <w:autoSpaceDE w:val="0"/>
              <w:autoSpaceDN w:val="0"/>
              <w:adjustRightInd w:val="0"/>
              <w:rPr>
                <w:rFonts w:ascii="Arial" w:hAnsi="Arial" w:cs="Arial"/>
              </w:rPr>
            </w:pPr>
            <w:r>
              <w:rPr>
                <w:rFonts w:ascii="Arial" w:hAnsi="Arial" w:cs="Arial"/>
              </w:rPr>
              <w:t>7.1</w:t>
            </w:r>
          </w:p>
        </w:tc>
        <w:tc>
          <w:tcPr>
            <w:tcW w:w="8647" w:type="dxa"/>
          </w:tcPr>
          <w:p w:rsidR="00833EB7" w:rsidRDefault="00833EB7" w:rsidP="009E72FA">
            <w:pPr>
              <w:autoSpaceDE w:val="0"/>
              <w:autoSpaceDN w:val="0"/>
              <w:adjustRightInd w:val="0"/>
              <w:jc w:val="both"/>
              <w:rPr>
                <w:rFonts w:ascii="Arial" w:hAnsi="Arial" w:cs="Arial"/>
                <w:b/>
              </w:rPr>
            </w:pPr>
          </w:p>
          <w:p w:rsidR="00833EB7" w:rsidRPr="00833EB7" w:rsidRDefault="00833EB7" w:rsidP="00833EB7">
            <w:pPr>
              <w:jc w:val="both"/>
              <w:rPr>
                <w:rFonts w:ascii="Arial" w:hAnsi="Arial" w:cs="Arial"/>
              </w:rPr>
            </w:pPr>
            <w:r w:rsidRPr="00833EB7">
              <w:rPr>
                <w:rFonts w:ascii="Arial" w:hAnsi="Arial" w:cs="Arial"/>
              </w:rPr>
              <w:t>Since the Board approved the Business Case in December 2018 to transfer the management of Lochalsh Leisure Centre to HLH, it has become apparent in the process of applying for the Public Entertainment License (PEL) that additional work is required to the facility to meet the needs of the License.  HLH staff have been working with the Board and staff of Lochalsh Leisure (LL) to put in place all of the operational arrangements necessary to obtain the License, however the Board of LL has indicated that they have run out of funds to complete the process.  The Board of LL are now in dialogue with the Council to determine if funding can be borrowed to implement the works to enable the transfer to occur.  Until this process is complete and the PEL secured, the transfer has been put on hold.</w:t>
            </w:r>
          </w:p>
          <w:p w:rsidR="00DD3C91" w:rsidRDefault="00DD3C91" w:rsidP="009E72FA">
            <w:pPr>
              <w:autoSpaceDE w:val="0"/>
              <w:autoSpaceDN w:val="0"/>
              <w:adjustRightInd w:val="0"/>
              <w:jc w:val="both"/>
              <w:rPr>
                <w:rFonts w:ascii="Arial" w:hAnsi="Arial" w:cs="Arial"/>
                <w:b/>
              </w:rPr>
            </w:pPr>
          </w:p>
        </w:tc>
      </w:tr>
      <w:tr w:rsidR="002E1EEF" w:rsidRPr="0089449E">
        <w:tc>
          <w:tcPr>
            <w:tcW w:w="817" w:type="dxa"/>
          </w:tcPr>
          <w:p w:rsidR="002E1EEF" w:rsidRDefault="00833EB7" w:rsidP="00447094">
            <w:pPr>
              <w:autoSpaceDE w:val="0"/>
              <w:autoSpaceDN w:val="0"/>
              <w:adjustRightInd w:val="0"/>
              <w:rPr>
                <w:rFonts w:ascii="Arial" w:hAnsi="Arial" w:cs="Arial"/>
                <w:b/>
              </w:rPr>
            </w:pPr>
            <w:r>
              <w:rPr>
                <w:rFonts w:ascii="Arial" w:hAnsi="Arial" w:cs="Arial"/>
                <w:b/>
              </w:rPr>
              <w:t>8</w:t>
            </w:r>
            <w:r w:rsidR="002E1EEF">
              <w:rPr>
                <w:rFonts w:ascii="Arial" w:hAnsi="Arial" w:cs="Arial"/>
                <w:b/>
              </w:rPr>
              <w:t>.</w:t>
            </w:r>
          </w:p>
          <w:p w:rsidR="00DD3C91" w:rsidRDefault="00DD3C91" w:rsidP="00447094">
            <w:pPr>
              <w:autoSpaceDE w:val="0"/>
              <w:autoSpaceDN w:val="0"/>
              <w:adjustRightInd w:val="0"/>
              <w:rPr>
                <w:rFonts w:ascii="Arial" w:hAnsi="Arial" w:cs="Arial"/>
                <w:b/>
              </w:rPr>
            </w:pPr>
          </w:p>
          <w:p w:rsidR="00DD3C91" w:rsidRPr="00DD3C91" w:rsidRDefault="00DD3C91" w:rsidP="00447094">
            <w:pPr>
              <w:autoSpaceDE w:val="0"/>
              <w:autoSpaceDN w:val="0"/>
              <w:adjustRightInd w:val="0"/>
              <w:rPr>
                <w:rFonts w:ascii="Arial" w:hAnsi="Arial" w:cs="Arial"/>
              </w:rPr>
            </w:pPr>
            <w:r w:rsidRPr="00DD3C91">
              <w:rPr>
                <w:rFonts w:ascii="Arial" w:hAnsi="Arial" w:cs="Arial"/>
              </w:rPr>
              <w:t>8.1</w:t>
            </w:r>
          </w:p>
        </w:tc>
        <w:tc>
          <w:tcPr>
            <w:tcW w:w="8647" w:type="dxa"/>
          </w:tcPr>
          <w:p w:rsidR="002E1EEF" w:rsidRDefault="002E1EEF" w:rsidP="009E72FA">
            <w:pPr>
              <w:autoSpaceDE w:val="0"/>
              <w:autoSpaceDN w:val="0"/>
              <w:adjustRightInd w:val="0"/>
              <w:jc w:val="both"/>
              <w:rPr>
                <w:rFonts w:ascii="Arial" w:hAnsi="Arial" w:cs="Arial"/>
                <w:b/>
              </w:rPr>
            </w:pPr>
            <w:r>
              <w:rPr>
                <w:rFonts w:ascii="Arial" w:hAnsi="Arial" w:cs="Arial"/>
                <w:b/>
              </w:rPr>
              <w:t xml:space="preserve">Linnhe Leisure </w:t>
            </w:r>
          </w:p>
          <w:p w:rsidR="00DD3C91" w:rsidRDefault="00DD3C91" w:rsidP="009E72FA">
            <w:pPr>
              <w:autoSpaceDE w:val="0"/>
              <w:autoSpaceDN w:val="0"/>
              <w:adjustRightInd w:val="0"/>
              <w:jc w:val="both"/>
              <w:rPr>
                <w:rFonts w:ascii="Arial" w:hAnsi="Arial" w:cs="Arial"/>
                <w:b/>
              </w:rPr>
            </w:pPr>
          </w:p>
          <w:p w:rsidR="00DD3C91" w:rsidRDefault="00DD3C91" w:rsidP="00DD3C91">
            <w:pPr>
              <w:jc w:val="both"/>
              <w:rPr>
                <w:rFonts w:ascii="Arial" w:hAnsi="Arial" w:cs="Arial"/>
              </w:rPr>
            </w:pPr>
            <w:r w:rsidRPr="00833EB7">
              <w:rPr>
                <w:rFonts w:ascii="Arial" w:hAnsi="Arial" w:cs="Arial"/>
              </w:rPr>
              <w:t>The Board of Linnhe Leisure ha</w:t>
            </w:r>
            <w:r>
              <w:rPr>
                <w:rFonts w:ascii="Arial" w:hAnsi="Arial" w:cs="Arial"/>
              </w:rPr>
              <w:t>d previously</w:t>
            </w:r>
            <w:r w:rsidRPr="00833EB7">
              <w:rPr>
                <w:rFonts w:ascii="Arial" w:hAnsi="Arial" w:cs="Arial"/>
              </w:rPr>
              <w:t xml:space="preserve"> approached HLH for the purposes of transferring management of the facility to HLH.  </w:t>
            </w:r>
            <w:r>
              <w:rPr>
                <w:rFonts w:ascii="Arial" w:hAnsi="Arial" w:cs="Arial"/>
              </w:rPr>
              <w:t>Directors will be aware that a</w:t>
            </w:r>
            <w:r w:rsidRPr="00833EB7">
              <w:rPr>
                <w:rFonts w:ascii="Arial" w:hAnsi="Arial" w:cs="Arial"/>
              </w:rPr>
              <w:t xml:space="preserve">s part of the normal due diligence process, HLH commissioned building surveys to identify any significant problems with the fabric of the building.  The surveys indicated many serious issues with the facility.  </w:t>
            </w:r>
          </w:p>
          <w:p w:rsidR="00833EB7" w:rsidRDefault="00833EB7" w:rsidP="009E72FA">
            <w:pPr>
              <w:autoSpaceDE w:val="0"/>
              <w:autoSpaceDN w:val="0"/>
              <w:adjustRightInd w:val="0"/>
              <w:jc w:val="both"/>
              <w:rPr>
                <w:rFonts w:ascii="Arial" w:hAnsi="Arial" w:cs="Arial"/>
                <w:b/>
              </w:rPr>
            </w:pPr>
          </w:p>
        </w:tc>
      </w:tr>
      <w:tr w:rsidR="002E1EEF" w:rsidRPr="0089449E" w:rsidTr="00DD3C91">
        <w:trPr>
          <w:trHeight w:val="2410"/>
        </w:trPr>
        <w:tc>
          <w:tcPr>
            <w:tcW w:w="817" w:type="dxa"/>
          </w:tcPr>
          <w:p w:rsidR="002C1270" w:rsidRPr="00833EB7" w:rsidRDefault="002C1270" w:rsidP="00447094">
            <w:pPr>
              <w:autoSpaceDE w:val="0"/>
              <w:autoSpaceDN w:val="0"/>
              <w:adjustRightInd w:val="0"/>
              <w:rPr>
                <w:rFonts w:ascii="Arial" w:hAnsi="Arial" w:cs="Arial"/>
              </w:rPr>
            </w:pPr>
            <w:r>
              <w:rPr>
                <w:rFonts w:ascii="Arial" w:hAnsi="Arial" w:cs="Arial"/>
              </w:rPr>
              <w:lastRenderedPageBreak/>
              <w:t>8.2</w:t>
            </w:r>
          </w:p>
        </w:tc>
        <w:tc>
          <w:tcPr>
            <w:tcW w:w="8647" w:type="dxa"/>
          </w:tcPr>
          <w:p w:rsidR="00833EB7" w:rsidRPr="00833EB7" w:rsidRDefault="00833EB7" w:rsidP="00833EB7">
            <w:pPr>
              <w:jc w:val="both"/>
              <w:rPr>
                <w:rFonts w:ascii="Arial" w:hAnsi="Arial" w:cs="Arial"/>
              </w:rPr>
            </w:pPr>
            <w:r w:rsidRPr="00833EB7">
              <w:rPr>
                <w:rFonts w:ascii="Arial" w:hAnsi="Arial" w:cs="Arial"/>
              </w:rPr>
              <w:t xml:space="preserve">The Highland Council is now working with the Board of Linnhe Leisure to rectify the most serious concerns to enable the facility to remain open.  The Board have also entered into discussions with the Council about the best options for the future of the Nevis Centre, one of which is to demolish the building and seek funding to build a new purpose built centre.  The Board still wish HLH to manage the building on their behalf in the future once all of the issues have been rectified and the future of the facility determined.  </w:t>
            </w:r>
            <w:r w:rsidR="002C1270">
              <w:rPr>
                <w:rFonts w:ascii="Arial" w:hAnsi="Arial" w:cs="Arial"/>
              </w:rPr>
              <w:t>A</w:t>
            </w:r>
            <w:r w:rsidRPr="00833EB7">
              <w:rPr>
                <w:rFonts w:ascii="Arial" w:hAnsi="Arial" w:cs="Arial"/>
              </w:rPr>
              <w:t xml:space="preserve"> Business Case to consider the transfer will be progressed once the situation becomes clearer.</w:t>
            </w:r>
          </w:p>
          <w:p w:rsidR="002E1EEF" w:rsidRDefault="002E1EEF" w:rsidP="009E72FA">
            <w:pPr>
              <w:autoSpaceDE w:val="0"/>
              <w:autoSpaceDN w:val="0"/>
              <w:adjustRightInd w:val="0"/>
              <w:jc w:val="both"/>
              <w:rPr>
                <w:rFonts w:ascii="Arial" w:hAnsi="Arial" w:cs="Arial"/>
                <w:b/>
              </w:rPr>
            </w:pPr>
          </w:p>
        </w:tc>
      </w:tr>
      <w:tr w:rsidR="002E1EEF" w:rsidRPr="0089449E">
        <w:tc>
          <w:tcPr>
            <w:tcW w:w="817" w:type="dxa"/>
          </w:tcPr>
          <w:p w:rsidR="002E1EEF" w:rsidRDefault="00196399" w:rsidP="00447094">
            <w:pPr>
              <w:autoSpaceDE w:val="0"/>
              <w:autoSpaceDN w:val="0"/>
              <w:adjustRightInd w:val="0"/>
              <w:rPr>
                <w:rFonts w:ascii="Arial" w:hAnsi="Arial" w:cs="Arial"/>
                <w:b/>
              </w:rPr>
            </w:pPr>
            <w:r>
              <w:rPr>
                <w:rFonts w:ascii="Arial" w:hAnsi="Arial" w:cs="Arial"/>
                <w:b/>
              </w:rPr>
              <w:t>9</w:t>
            </w:r>
            <w:r w:rsidR="002E1EEF">
              <w:rPr>
                <w:rFonts w:ascii="Arial" w:hAnsi="Arial" w:cs="Arial"/>
                <w:b/>
              </w:rPr>
              <w:t>.</w:t>
            </w:r>
          </w:p>
          <w:p w:rsidR="00833EB7" w:rsidRDefault="00833EB7" w:rsidP="00447094">
            <w:pPr>
              <w:autoSpaceDE w:val="0"/>
              <w:autoSpaceDN w:val="0"/>
              <w:adjustRightInd w:val="0"/>
              <w:rPr>
                <w:rFonts w:ascii="Arial" w:hAnsi="Arial" w:cs="Arial"/>
                <w:b/>
              </w:rPr>
            </w:pPr>
          </w:p>
          <w:p w:rsidR="00833EB7" w:rsidRPr="00833EB7" w:rsidRDefault="00196399" w:rsidP="00447094">
            <w:pPr>
              <w:autoSpaceDE w:val="0"/>
              <w:autoSpaceDN w:val="0"/>
              <w:adjustRightInd w:val="0"/>
              <w:rPr>
                <w:rFonts w:ascii="Arial" w:hAnsi="Arial" w:cs="Arial"/>
              </w:rPr>
            </w:pPr>
            <w:r>
              <w:rPr>
                <w:rFonts w:ascii="Arial" w:hAnsi="Arial" w:cs="Arial"/>
              </w:rPr>
              <w:t>9</w:t>
            </w:r>
            <w:r w:rsidR="00833EB7">
              <w:rPr>
                <w:rFonts w:ascii="Arial" w:hAnsi="Arial" w:cs="Arial"/>
              </w:rPr>
              <w:t>.1</w:t>
            </w:r>
          </w:p>
        </w:tc>
        <w:tc>
          <w:tcPr>
            <w:tcW w:w="8647" w:type="dxa"/>
          </w:tcPr>
          <w:p w:rsidR="00833EB7" w:rsidRPr="00833EB7" w:rsidRDefault="002E1EEF" w:rsidP="00833EB7">
            <w:pPr>
              <w:jc w:val="both"/>
              <w:rPr>
                <w:rFonts w:ascii="Arial" w:hAnsi="Arial" w:cs="Arial"/>
                <w:b/>
              </w:rPr>
            </w:pPr>
            <w:r w:rsidRPr="00833EB7">
              <w:rPr>
                <w:rFonts w:ascii="Arial" w:hAnsi="Arial" w:cs="Arial"/>
                <w:b/>
              </w:rPr>
              <w:t>Inverness Castle</w:t>
            </w:r>
          </w:p>
          <w:p w:rsidR="00833EB7" w:rsidRPr="00833EB7" w:rsidRDefault="00833EB7" w:rsidP="00833EB7">
            <w:pPr>
              <w:jc w:val="both"/>
              <w:rPr>
                <w:rFonts w:ascii="Arial" w:hAnsi="Arial" w:cs="Arial"/>
                <w:b/>
              </w:rPr>
            </w:pPr>
          </w:p>
          <w:p w:rsidR="00833EB7" w:rsidRPr="00833EB7" w:rsidRDefault="00833EB7" w:rsidP="00833EB7">
            <w:pPr>
              <w:jc w:val="both"/>
              <w:rPr>
                <w:rFonts w:ascii="Arial" w:hAnsi="Arial" w:cs="Arial"/>
              </w:rPr>
            </w:pPr>
            <w:r w:rsidRPr="00833EB7">
              <w:rPr>
                <w:rFonts w:ascii="Arial" w:hAnsi="Arial" w:cs="Arial"/>
              </w:rPr>
              <w:t xml:space="preserve">The architects and creative design team have been appointed to the project and are now working with HLH cultural staff, the National Galleries of Scotland, the National Museums of Scotland, along with local cultural stakeholders to progress the project to turn the North and South Tower of the Castle into a visitor attraction.  The development of the two towers is phase one of the masterplan which seeks to transform </w:t>
            </w:r>
            <w:proofErr w:type="spellStart"/>
            <w:r w:rsidRPr="00833EB7">
              <w:rPr>
                <w:rFonts w:ascii="Arial" w:hAnsi="Arial" w:cs="Arial"/>
              </w:rPr>
              <w:t>Castlehill</w:t>
            </w:r>
            <w:proofErr w:type="spellEnd"/>
            <w:r w:rsidRPr="00833EB7">
              <w:rPr>
                <w:rFonts w:ascii="Arial" w:hAnsi="Arial" w:cs="Arial"/>
              </w:rPr>
              <w:t xml:space="preserve"> into a world class visitor attraction.  Phase two would see a new museum, art gallery and paid for visitor attraction being developed on Castle Street, with phase three focusing on the development of Bridge Street into a venue comprising hotel accommodation, dining and shopping experiences.  Phase one is set to be complete in summer 2023, subject to the timely decant of the Scottish Courts and Tribunals Service to the new Justice Centre at the end of 2019.</w:t>
            </w:r>
          </w:p>
          <w:p w:rsidR="002E1EEF" w:rsidRPr="00833EB7" w:rsidRDefault="002E1EEF" w:rsidP="00833EB7">
            <w:pPr>
              <w:autoSpaceDE w:val="0"/>
              <w:autoSpaceDN w:val="0"/>
              <w:adjustRightInd w:val="0"/>
              <w:jc w:val="both"/>
              <w:rPr>
                <w:rFonts w:ascii="Arial" w:hAnsi="Arial" w:cs="Arial"/>
                <w:b/>
              </w:rPr>
            </w:pPr>
          </w:p>
        </w:tc>
      </w:tr>
      <w:tr w:rsidR="002E1EEF" w:rsidRPr="0089449E">
        <w:tc>
          <w:tcPr>
            <w:tcW w:w="817" w:type="dxa"/>
          </w:tcPr>
          <w:p w:rsidR="002E1EEF" w:rsidRDefault="00196399" w:rsidP="00447094">
            <w:pPr>
              <w:autoSpaceDE w:val="0"/>
              <w:autoSpaceDN w:val="0"/>
              <w:adjustRightInd w:val="0"/>
              <w:rPr>
                <w:rFonts w:ascii="Arial" w:hAnsi="Arial" w:cs="Arial"/>
                <w:b/>
              </w:rPr>
            </w:pPr>
            <w:r>
              <w:rPr>
                <w:rFonts w:ascii="Arial" w:hAnsi="Arial" w:cs="Arial"/>
                <w:b/>
              </w:rPr>
              <w:t>10</w:t>
            </w:r>
            <w:r w:rsidR="002E1EEF">
              <w:rPr>
                <w:rFonts w:ascii="Arial" w:hAnsi="Arial" w:cs="Arial"/>
                <w:b/>
              </w:rPr>
              <w:t>.</w:t>
            </w:r>
          </w:p>
        </w:tc>
        <w:tc>
          <w:tcPr>
            <w:tcW w:w="8647" w:type="dxa"/>
          </w:tcPr>
          <w:p w:rsidR="002E1EEF" w:rsidRDefault="001F6978" w:rsidP="00833EB7">
            <w:pPr>
              <w:autoSpaceDE w:val="0"/>
              <w:autoSpaceDN w:val="0"/>
              <w:adjustRightInd w:val="0"/>
              <w:jc w:val="both"/>
              <w:rPr>
                <w:rFonts w:ascii="Arial" w:hAnsi="Arial" w:cs="Arial"/>
                <w:b/>
              </w:rPr>
            </w:pPr>
            <w:r>
              <w:rPr>
                <w:rFonts w:ascii="Arial" w:hAnsi="Arial" w:cs="Arial"/>
                <w:b/>
              </w:rPr>
              <w:t>Inverness Tennis Centre</w:t>
            </w:r>
          </w:p>
        </w:tc>
      </w:tr>
      <w:tr w:rsidR="00B850CF" w:rsidRPr="0089449E">
        <w:tc>
          <w:tcPr>
            <w:tcW w:w="817" w:type="dxa"/>
          </w:tcPr>
          <w:p w:rsidR="00B850CF" w:rsidRDefault="00B850CF" w:rsidP="00447094">
            <w:pPr>
              <w:autoSpaceDE w:val="0"/>
              <w:autoSpaceDN w:val="0"/>
              <w:adjustRightInd w:val="0"/>
              <w:rPr>
                <w:rFonts w:ascii="Arial" w:hAnsi="Arial" w:cs="Arial"/>
                <w:b/>
              </w:rPr>
            </w:pPr>
          </w:p>
          <w:p w:rsidR="001F6978" w:rsidRPr="001F6978" w:rsidRDefault="00196399" w:rsidP="00447094">
            <w:pPr>
              <w:autoSpaceDE w:val="0"/>
              <w:autoSpaceDN w:val="0"/>
              <w:adjustRightInd w:val="0"/>
              <w:rPr>
                <w:rFonts w:ascii="Arial" w:hAnsi="Arial" w:cs="Arial"/>
              </w:rPr>
            </w:pPr>
            <w:r>
              <w:rPr>
                <w:rFonts w:ascii="Arial" w:hAnsi="Arial" w:cs="Arial"/>
              </w:rPr>
              <w:t>10.</w:t>
            </w:r>
            <w:r w:rsidR="001F6978" w:rsidRPr="001F6978">
              <w:rPr>
                <w:rFonts w:ascii="Arial" w:hAnsi="Arial" w:cs="Arial"/>
              </w:rPr>
              <w:t>1</w:t>
            </w:r>
          </w:p>
        </w:tc>
        <w:tc>
          <w:tcPr>
            <w:tcW w:w="8647" w:type="dxa"/>
          </w:tcPr>
          <w:p w:rsidR="00B850CF" w:rsidRDefault="00B850CF" w:rsidP="00833EB7">
            <w:pPr>
              <w:autoSpaceDE w:val="0"/>
              <w:autoSpaceDN w:val="0"/>
              <w:adjustRightInd w:val="0"/>
              <w:jc w:val="both"/>
              <w:rPr>
                <w:rFonts w:ascii="Arial" w:hAnsi="Arial" w:cs="Arial"/>
                <w:b/>
              </w:rPr>
            </w:pPr>
          </w:p>
          <w:p w:rsidR="001F6978" w:rsidRPr="001F6978" w:rsidRDefault="001F6978" w:rsidP="001F6978">
            <w:pPr>
              <w:jc w:val="both"/>
              <w:rPr>
                <w:rFonts w:ascii="Arial" w:hAnsi="Arial" w:cs="Arial"/>
              </w:rPr>
            </w:pPr>
            <w:r w:rsidRPr="001F6978">
              <w:rPr>
                <w:rFonts w:ascii="Arial" w:hAnsi="Arial" w:cs="Arial"/>
              </w:rPr>
              <w:t xml:space="preserve">The Stage One application for funding to build a four court Indoor Tennis Centre for the Highlands has been successful and the Council has been invited to progress to Stage Two.  HLH are managing the process on behalf of The Highland Council and would operate the facility on their behalf if successful.  The Centre would be connected to the rear of Inverness Leisure and managed by the existing staff on site.  The new Centre would be an excellent addition to the HLH portfolio and provide access to much needed indoor tennis facilities for people in the Highlands.  </w:t>
            </w:r>
          </w:p>
          <w:p w:rsidR="001F6978" w:rsidRDefault="001F6978" w:rsidP="00833EB7">
            <w:pPr>
              <w:autoSpaceDE w:val="0"/>
              <w:autoSpaceDN w:val="0"/>
              <w:adjustRightInd w:val="0"/>
              <w:jc w:val="both"/>
              <w:rPr>
                <w:rFonts w:ascii="Arial" w:hAnsi="Arial" w:cs="Arial"/>
                <w:b/>
              </w:rPr>
            </w:pPr>
          </w:p>
        </w:tc>
      </w:tr>
      <w:tr w:rsidR="00EA6D79" w:rsidRPr="0089449E">
        <w:tc>
          <w:tcPr>
            <w:tcW w:w="817" w:type="dxa"/>
          </w:tcPr>
          <w:p w:rsidR="00EA6D79" w:rsidRDefault="00196399" w:rsidP="00447094">
            <w:pPr>
              <w:autoSpaceDE w:val="0"/>
              <w:autoSpaceDN w:val="0"/>
              <w:adjustRightInd w:val="0"/>
              <w:rPr>
                <w:rFonts w:ascii="Arial" w:hAnsi="Arial" w:cs="Arial"/>
                <w:b/>
              </w:rPr>
            </w:pPr>
            <w:r>
              <w:rPr>
                <w:rFonts w:ascii="Arial" w:hAnsi="Arial" w:cs="Arial"/>
                <w:b/>
              </w:rPr>
              <w:t>11</w:t>
            </w:r>
            <w:r w:rsidR="00192A32">
              <w:rPr>
                <w:rFonts w:ascii="Arial" w:hAnsi="Arial" w:cs="Arial"/>
                <w:b/>
              </w:rPr>
              <w:t>.</w:t>
            </w:r>
          </w:p>
        </w:tc>
        <w:tc>
          <w:tcPr>
            <w:tcW w:w="8647" w:type="dxa"/>
          </w:tcPr>
          <w:p w:rsidR="00EA6D79" w:rsidRDefault="00EA6D79" w:rsidP="00833EB7">
            <w:pPr>
              <w:autoSpaceDE w:val="0"/>
              <w:autoSpaceDN w:val="0"/>
              <w:adjustRightInd w:val="0"/>
              <w:jc w:val="both"/>
              <w:rPr>
                <w:rFonts w:ascii="Arial" w:hAnsi="Arial" w:cs="Arial"/>
                <w:b/>
              </w:rPr>
            </w:pPr>
            <w:r>
              <w:rPr>
                <w:rFonts w:ascii="Arial" w:hAnsi="Arial" w:cs="Arial"/>
                <w:b/>
              </w:rPr>
              <w:t xml:space="preserve">Moray Leisure Centre </w:t>
            </w:r>
          </w:p>
          <w:p w:rsidR="002D2844" w:rsidRDefault="002D2844" w:rsidP="00833EB7">
            <w:pPr>
              <w:autoSpaceDE w:val="0"/>
              <w:autoSpaceDN w:val="0"/>
              <w:adjustRightInd w:val="0"/>
              <w:jc w:val="both"/>
              <w:rPr>
                <w:rFonts w:ascii="Arial" w:hAnsi="Arial" w:cs="Arial"/>
                <w:b/>
              </w:rPr>
            </w:pPr>
          </w:p>
        </w:tc>
      </w:tr>
      <w:tr w:rsidR="00EA6D79" w:rsidRPr="0089449E">
        <w:tc>
          <w:tcPr>
            <w:tcW w:w="817" w:type="dxa"/>
          </w:tcPr>
          <w:p w:rsidR="00EA6D79" w:rsidRPr="001973D8" w:rsidRDefault="00196399" w:rsidP="00447094">
            <w:pPr>
              <w:autoSpaceDE w:val="0"/>
              <w:autoSpaceDN w:val="0"/>
              <w:adjustRightInd w:val="0"/>
              <w:rPr>
                <w:rFonts w:ascii="Arial" w:hAnsi="Arial" w:cs="Arial"/>
              </w:rPr>
            </w:pPr>
            <w:r w:rsidRPr="001973D8">
              <w:rPr>
                <w:rFonts w:ascii="Arial" w:hAnsi="Arial" w:cs="Arial"/>
              </w:rPr>
              <w:t>11</w:t>
            </w:r>
            <w:r w:rsidR="00EA6D79" w:rsidRPr="001973D8">
              <w:rPr>
                <w:rFonts w:ascii="Arial" w:hAnsi="Arial" w:cs="Arial"/>
              </w:rPr>
              <w:t>.1</w:t>
            </w:r>
          </w:p>
        </w:tc>
        <w:tc>
          <w:tcPr>
            <w:tcW w:w="8647" w:type="dxa"/>
          </w:tcPr>
          <w:p w:rsidR="001973D8" w:rsidRPr="001973D8" w:rsidRDefault="001973D8" w:rsidP="00833EB7">
            <w:pPr>
              <w:jc w:val="both"/>
              <w:rPr>
                <w:rFonts w:ascii="Arial" w:hAnsi="Arial" w:cs="Arial"/>
                <w:szCs w:val="24"/>
              </w:rPr>
            </w:pPr>
            <w:r w:rsidRPr="001973D8">
              <w:rPr>
                <w:rFonts w:ascii="Arial" w:hAnsi="Arial" w:cs="Arial"/>
                <w:szCs w:val="24"/>
              </w:rPr>
              <w:t>The current provision of management consultancy by HLH Managers at Moray Leisure Centre in Elgin has been received very positively by the Board of Moray Leisure Limited (MLL).  During the first year HLH staff have resolved long standing staffing issues and turned around the financial performance of the facility.  The current contract finishes at the end of July 2019. In order to give the Board of Moray Leisure additional time to consolidate the progress and to develop its new Business Plan, Directors of MLL have asked HLH to continue to provide consultancy support until the end of July 2020.  The fee to cover the cost of the consultancy has been agreed with MLL</w:t>
            </w:r>
            <w:r>
              <w:rPr>
                <w:rFonts w:ascii="Arial" w:hAnsi="Arial" w:cs="Arial"/>
                <w:szCs w:val="24"/>
              </w:rPr>
              <w:t>.</w:t>
            </w:r>
            <w:bookmarkStart w:id="0" w:name="_GoBack"/>
            <w:bookmarkEnd w:id="0"/>
          </w:p>
        </w:tc>
      </w:tr>
      <w:tr w:rsidR="00EA6D79" w:rsidRPr="0089449E">
        <w:tc>
          <w:tcPr>
            <w:tcW w:w="817" w:type="dxa"/>
          </w:tcPr>
          <w:p w:rsidR="00EA6D79" w:rsidRDefault="00EA6D79" w:rsidP="00447094">
            <w:pPr>
              <w:autoSpaceDE w:val="0"/>
              <w:autoSpaceDN w:val="0"/>
              <w:adjustRightInd w:val="0"/>
              <w:rPr>
                <w:rFonts w:ascii="Arial" w:hAnsi="Arial" w:cs="Arial"/>
              </w:rPr>
            </w:pPr>
          </w:p>
        </w:tc>
        <w:tc>
          <w:tcPr>
            <w:tcW w:w="8647" w:type="dxa"/>
          </w:tcPr>
          <w:p w:rsidR="00EA6D79" w:rsidRDefault="00EA6D79" w:rsidP="00D50FD0">
            <w:pPr>
              <w:rPr>
                <w:rFonts w:ascii="Arial" w:eastAsiaTheme="minorHAnsi" w:hAnsi="Arial" w:cs="Arial"/>
                <w:szCs w:val="24"/>
                <w:lang w:eastAsia="en-US"/>
              </w:rPr>
            </w:pPr>
          </w:p>
        </w:tc>
      </w:tr>
      <w:tr w:rsidR="00EA6D79" w:rsidRPr="0089449E">
        <w:tc>
          <w:tcPr>
            <w:tcW w:w="817" w:type="dxa"/>
          </w:tcPr>
          <w:p w:rsidR="00EA6D79" w:rsidRPr="00F50A4F" w:rsidRDefault="00C41B87" w:rsidP="00196399">
            <w:pPr>
              <w:autoSpaceDE w:val="0"/>
              <w:autoSpaceDN w:val="0"/>
              <w:adjustRightInd w:val="0"/>
              <w:rPr>
                <w:rFonts w:ascii="Arial" w:hAnsi="Arial" w:cs="Arial"/>
                <w:b/>
              </w:rPr>
            </w:pPr>
            <w:r>
              <w:rPr>
                <w:rFonts w:ascii="Arial" w:hAnsi="Arial" w:cs="Arial"/>
                <w:b/>
              </w:rPr>
              <w:t>1</w:t>
            </w:r>
            <w:r w:rsidR="00196399">
              <w:rPr>
                <w:rFonts w:ascii="Arial" w:hAnsi="Arial" w:cs="Arial"/>
                <w:b/>
              </w:rPr>
              <w:t>2</w:t>
            </w:r>
            <w:r w:rsidR="00EA6D79" w:rsidRPr="00F50A4F">
              <w:rPr>
                <w:rFonts w:ascii="Arial" w:hAnsi="Arial" w:cs="Arial"/>
                <w:b/>
              </w:rPr>
              <w:t>.</w:t>
            </w:r>
          </w:p>
        </w:tc>
        <w:tc>
          <w:tcPr>
            <w:tcW w:w="8647" w:type="dxa"/>
          </w:tcPr>
          <w:p w:rsidR="00EA6D79" w:rsidRDefault="00EA6D79" w:rsidP="002D7D16">
            <w:pPr>
              <w:autoSpaceDE w:val="0"/>
              <w:autoSpaceDN w:val="0"/>
              <w:adjustRightInd w:val="0"/>
              <w:jc w:val="both"/>
              <w:rPr>
                <w:rFonts w:ascii="Arial" w:hAnsi="Arial" w:cs="Arial"/>
                <w:b/>
              </w:rPr>
            </w:pPr>
            <w:r>
              <w:rPr>
                <w:rFonts w:ascii="Arial" w:hAnsi="Arial" w:cs="Arial"/>
                <w:b/>
              </w:rPr>
              <w:t>Moray Council</w:t>
            </w:r>
          </w:p>
          <w:p w:rsidR="002D2844" w:rsidRPr="00F50A4F" w:rsidRDefault="002D2844" w:rsidP="002D7D16">
            <w:pPr>
              <w:autoSpaceDE w:val="0"/>
              <w:autoSpaceDN w:val="0"/>
              <w:adjustRightInd w:val="0"/>
              <w:jc w:val="both"/>
              <w:rPr>
                <w:rFonts w:ascii="Arial" w:hAnsi="Arial" w:cs="Arial"/>
                <w:b/>
              </w:rPr>
            </w:pPr>
          </w:p>
        </w:tc>
      </w:tr>
      <w:tr w:rsidR="00EA6D79" w:rsidRPr="0089449E">
        <w:tc>
          <w:tcPr>
            <w:tcW w:w="817" w:type="dxa"/>
          </w:tcPr>
          <w:p w:rsidR="006F3071" w:rsidRPr="00F50A4F" w:rsidRDefault="00196399" w:rsidP="00447094">
            <w:pPr>
              <w:autoSpaceDE w:val="0"/>
              <w:autoSpaceDN w:val="0"/>
              <w:adjustRightInd w:val="0"/>
              <w:rPr>
                <w:rFonts w:ascii="Arial" w:hAnsi="Arial" w:cs="Arial"/>
              </w:rPr>
            </w:pPr>
            <w:r>
              <w:rPr>
                <w:rFonts w:ascii="Arial" w:hAnsi="Arial" w:cs="Arial"/>
              </w:rPr>
              <w:t>12</w:t>
            </w:r>
            <w:r w:rsidR="00EA6D79">
              <w:rPr>
                <w:rFonts w:ascii="Arial" w:hAnsi="Arial" w:cs="Arial"/>
              </w:rPr>
              <w:t>.1</w:t>
            </w:r>
          </w:p>
        </w:tc>
        <w:tc>
          <w:tcPr>
            <w:tcW w:w="8647" w:type="dxa"/>
          </w:tcPr>
          <w:p w:rsidR="00192A32" w:rsidRPr="007C0413" w:rsidRDefault="002C1270" w:rsidP="00C34A7E">
            <w:pPr>
              <w:autoSpaceDE w:val="0"/>
              <w:autoSpaceDN w:val="0"/>
              <w:adjustRightInd w:val="0"/>
              <w:jc w:val="both"/>
              <w:rPr>
                <w:rFonts w:ascii="Arial" w:hAnsi="Arial" w:cs="Arial"/>
              </w:rPr>
            </w:pPr>
            <w:r>
              <w:rPr>
                <w:rFonts w:ascii="Arial" w:hAnsi="Arial" w:cs="Arial"/>
              </w:rPr>
              <w:t xml:space="preserve">Directors will be aware that informal discussions have been ongoing with Moray Council officials and </w:t>
            </w:r>
            <w:r w:rsidR="00C44828">
              <w:rPr>
                <w:rFonts w:ascii="Arial" w:hAnsi="Arial" w:cs="Arial"/>
              </w:rPr>
              <w:t>M</w:t>
            </w:r>
            <w:r>
              <w:rPr>
                <w:rFonts w:ascii="Arial" w:hAnsi="Arial" w:cs="Arial"/>
              </w:rPr>
              <w:t xml:space="preserve">embers regarding </w:t>
            </w:r>
            <w:r w:rsidR="00C44828">
              <w:rPr>
                <w:rFonts w:ascii="Arial" w:hAnsi="Arial" w:cs="Arial"/>
              </w:rPr>
              <w:t xml:space="preserve">the </w:t>
            </w:r>
            <w:r>
              <w:rPr>
                <w:rFonts w:ascii="Arial" w:hAnsi="Arial" w:cs="Arial"/>
              </w:rPr>
              <w:t xml:space="preserve">possible </w:t>
            </w:r>
            <w:r w:rsidR="00C44828">
              <w:rPr>
                <w:rFonts w:ascii="Arial" w:hAnsi="Arial" w:cs="Arial"/>
              </w:rPr>
              <w:t xml:space="preserve">delivery of that area’s cultural and leisure services through HLH.  Following a more formal approach to The Highland Council, the options for developing a partnership </w:t>
            </w:r>
            <w:r w:rsidR="00C44828">
              <w:rPr>
                <w:rFonts w:ascii="Arial" w:hAnsi="Arial" w:cs="Arial"/>
              </w:rPr>
              <w:lastRenderedPageBreak/>
              <w:t xml:space="preserve">with Moray were discussed at a recent Leadership meeting.  The Leadership decided to turn down the offer for discussions at present as there were no particular benefits to </w:t>
            </w:r>
            <w:r w:rsidR="00C34A7E">
              <w:rPr>
                <w:rFonts w:ascii="Arial" w:hAnsi="Arial" w:cs="Arial"/>
              </w:rPr>
              <w:t xml:space="preserve">the </w:t>
            </w:r>
            <w:r w:rsidR="00C44828">
              <w:rPr>
                <w:rFonts w:ascii="Arial" w:hAnsi="Arial" w:cs="Arial"/>
              </w:rPr>
              <w:t xml:space="preserve">Council and </w:t>
            </w:r>
            <w:r w:rsidR="00C34A7E">
              <w:rPr>
                <w:rFonts w:ascii="Arial" w:hAnsi="Arial" w:cs="Arial"/>
              </w:rPr>
              <w:t xml:space="preserve">because of </w:t>
            </w:r>
            <w:r w:rsidR="00C44828">
              <w:rPr>
                <w:rFonts w:ascii="Arial" w:hAnsi="Arial" w:cs="Arial"/>
              </w:rPr>
              <w:t>financial, reputational and other risks together with current local operational pressures</w:t>
            </w:r>
            <w:r w:rsidR="00C34A7E">
              <w:rPr>
                <w:rFonts w:ascii="Arial" w:hAnsi="Arial" w:cs="Arial"/>
              </w:rPr>
              <w:t xml:space="preserve"> </w:t>
            </w:r>
            <w:r w:rsidR="00C44828">
              <w:rPr>
                <w:rFonts w:ascii="Arial" w:hAnsi="Arial" w:cs="Arial"/>
              </w:rPr>
              <w:t xml:space="preserve"> </w:t>
            </w:r>
          </w:p>
        </w:tc>
      </w:tr>
      <w:tr w:rsidR="00505D55" w:rsidRPr="0089449E">
        <w:tc>
          <w:tcPr>
            <w:tcW w:w="817" w:type="dxa"/>
          </w:tcPr>
          <w:p w:rsidR="00505D55" w:rsidRDefault="00505D55" w:rsidP="00447094">
            <w:pPr>
              <w:autoSpaceDE w:val="0"/>
              <w:autoSpaceDN w:val="0"/>
              <w:adjustRightInd w:val="0"/>
              <w:rPr>
                <w:rFonts w:ascii="Arial" w:hAnsi="Arial" w:cs="Arial"/>
                <w:b/>
              </w:rPr>
            </w:pPr>
          </w:p>
        </w:tc>
        <w:tc>
          <w:tcPr>
            <w:tcW w:w="8647" w:type="dxa"/>
          </w:tcPr>
          <w:p w:rsidR="00610F52" w:rsidRDefault="00610F52" w:rsidP="00050D22">
            <w:pPr>
              <w:autoSpaceDE w:val="0"/>
              <w:autoSpaceDN w:val="0"/>
              <w:adjustRightInd w:val="0"/>
              <w:jc w:val="both"/>
              <w:rPr>
                <w:rFonts w:ascii="Arial" w:hAnsi="Arial" w:cs="Arial"/>
                <w:b/>
              </w:rPr>
            </w:pPr>
          </w:p>
        </w:tc>
      </w:tr>
      <w:tr w:rsidR="00280008" w:rsidRPr="0089449E">
        <w:tc>
          <w:tcPr>
            <w:tcW w:w="817" w:type="dxa"/>
          </w:tcPr>
          <w:p w:rsidR="00280008" w:rsidRPr="00093B82" w:rsidRDefault="00346C3E" w:rsidP="00447094">
            <w:pPr>
              <w:autoSpaceDE w:val="0"/>
              <w:autoSpaceDN w:val="0"/>
              <w:adjustRightInd w:val="0"/>
              <w:rPr>
                <w:rFonts w:ascii="Arial" w:hAnsi="Arial" w:cs="Arial"/>
                <w:b/>
              </w:rPr>
            </w:pPr>
            <w:r>
              <w:rPr>
                <w:rFonts w:ascii="Arial" w:hAnsi="Arial" w:cs="Arial"/>
                <w:b/>
              </w:rPr>
              <w:t>1</w:t>
            </w:r>
            <w:r w:rsidR="00196399">
              <w:rPr>
                <w:rFonts w:ascii="Arial" w:hAnsi="Arial" w:cs="Arial"/>
                <w:b/>
              </w:rPr>
              <w:t>3</w:t>
            </w:r>
            <w:r w:rsidR="00280008" w:rsidRPr="00093B82">
              <w:rPr>
                <w:rFonts w:ascii="Arial" w:hAnsi="Arial" w:cs="Arial"/>
                <w:b/>
              </w:rPr>
              <w:t>.</w:t>
            </w:r>
          </w:p>
        </w:tc>
        <w:tc>
          <w:tcPr>
            <w:tcW w:w="8647" w:type="dxa"/>
          </w:tcPr>
          <w:p w:rsidR="00280008" w:rsidRDefault="00280008" w:rsidP="00050D22">
            <w:pPr>
              <w:autoSpaceDE w:val="0"/>
              <w:autoSpaceDN w:val="0"/>
              <w:adjustRightInd w:val="0"/>
              <w:jc w:val="both"/>
              <w:rPr>
                <w:rFonts w:ascii="Arial" w:hAnsi="Arial" w:cs="Arial"/>
                <w:b/>
              </w:rPr>
            </w:pPr>
            <w:r>
              <w:rPr>
                <w:rFonts w:ascii="Arial" w:hAnsi="Arial" w:cs="Arial"/>
                <w:b/>
              </w:rPr>
              <w:t>Implications</w:t>
            </w:r>
          </w:p>
          <w:p w:rsidR="00280008" w:rsidRPr="006F3071" w:rsidRDefault="00280008" w:rsidP="005A084E">
            <w:pPr>
              <w:jc w:val="both"/>
              <w:rPr>
                <w:rFonts w:ascii="Arial" w:hAnsi="Arial" w:cs="Arial"/>
                <w:b/>
                <w:highlight w:val="yellow"/>
              </w:rPr>
            </w:pPr>
          </w:p>
        </w:tc>
      </w:tr>
      <w:tr w:rsidR="00280008" w:rsidRPr="0089449E">
        <w:tc>
          <w:tcPr>
            <w:tcW w:w="817" w:type="dxa"/>
          </w:tcPr>
          <w:p w:rsidR="00280008" w:rsidRPr="00280008" w:rsidRDefault="00346C3E" w:rsidP="00447094">
            <w:pPr>
              <w:autoSpaceDE w:val="0"/>
              <w:autoSpaceDN w:val="0"/>
              <w:adjustRightInd w:val="0"/>
              <w:rPr>
                <w:rFonts w:ascii="Arial" w:hAnsi="Arial" w:cs="Arial"/>
              </w:rPr>
            </w:pPr>
            <w:r>
              <w:rPr>
                <w:rFonts w:ascii="Arial" w:hAnsi="Arial" w:cs="Arial"/>
              </w:rPr>
              <w:t>1</w:t>
            </w:r>
            <w:r w:rsidR="00196399">
              <w:rPr>
                <w:rFonts w:ascii="Arial" w:hAnsi="Arial" w:cs="Arial"/>
              </w:rPr>
              <w:t>3</w:t>
            </w:r>
            <w:r w:rsidR="00280008" w:rsidRPr="00280008">
              <w:rPr>
                <w:rFonts w:ascii="Arial" w:hAnsi="Arial" w:cs="Arial"/>
              </w:rPr>
              <w:t>.1</w:t>
            </w:r>
          </w:p>
        </w:tc>
        <w:tc>
          <w:tcPr>
            <w:tcW w:w="8647" w:type="dxa"/>
          </w:tcPr>
          <w:p w:rsidR="00280008" w:rsidRDefault="00280008" w:rsidP="00050D22">
            <w:pPr>
              <w:autoSpaceDE w:val="0"/>
              <w:autoSpaceDN w:val="0"/>
              <w:adjustRightInd w:val="0"/>
              <w:jc w:val="both"/>
              <w:rPr>
                <w:rFonts w:ascii="Arial" w:hAnsi="Arial" w:cs="Arial"/>
              </w:rPr>
            </w:pPr>
            <w:r>
              <w:rPr>
                <w:rFonts w:ascii="Arial" w:hAnsi="Arial" w:cs="Arial"/>
              </w:rPr>
              <w:t>Resource Implications – there are no additional resource implications arising from this report.</w:t>
            </w:r>
          </w:p>
          <w:p w:rsidR="00280008" w:rsidRPr="006F3071" w:rsidRDefault="00280008" w:rsidP="005538D9">
            <w:pPr>
              <w:jc w:val="both"/>
              <w:rPr>
                <w:rFonts w:ascii="Arial" w:hAnsi="Arial" w:cs="Arial"/>
                <w:highlight w:val="yellow"/>
              </w:rPr>
            </w:pPr>
          </w:p>
        </w:tc>
      </w:tr>
      <w:tr w:rsidR="00280008" w:rsidRPr="0089449E">
        <w:tc>
          <w:tcPr>
            <w:tcW w:w="817" w:type="dxa"/>
          </w:tcPr>
          <w:p w:rsidR="00280008" w:rsidRPr="00280008" w:rsidRDefault="00346C3E" w:rsidP="00280008">
            <w:pPr>
              <w:autoSpaceDE w:val="0"/>
              <w:autoSpaceDN w:val="0"/>
              <w:adjustRightInd w:val="0"/>
              <w:rPr>
                <w:rFonts w:ascii="Arial" w:hAnsi="Arial" w:cs="Arial"/>
              </w:rPr>
            </w:pPr>
            <w:r>
              <w:rPr>
                <w:rFonts w:ascii="Arial" w:hAnsi="Arial" w:cs="Arial"/>
              </w:rPr>
              <w:t>1</w:t>
            </w:r>
            <w:r w:rsidR="00196399">
              <w:rPr>
                <w:rFonts w:ascii="Arial" w:hAnsi="Arial" w:cs="Arial"/>
              </w:rPr>
              <w:t>3</w:t>
            </w:r>
            <w:r w:rsidR="00280008" w:rsidRPr="00280008">
              <w:rPr>
                <w:rFonts w:ascii="Arial" w:hAnsi="Arial" w:cs="Arial"/>
              </w:rPr>
              <w:t>.2</w:t>
            </w:r>
          </w:p>
        </w:tc>
        <w:tc>
          <w:tcPr>
            <w:tcW w:w="8647" w:type="dxa"/>
          </w:tcPr>
          <w:p w:rsidR="00280008" w:rsidRDefault="00280008" w:rsidP="00A241C4">
            <w:pPr>
              <w:autoSpaceDE w:val="0"/>
              <w:autoSpaceDN w:val="0"/>
              <w:adjustRightInd w:val="0"/>
              <w:jc w:val="both"/>
              <w:rPr>
                <w:rFonts w:ascii="Arial" w:hAnsi="Arial" w:cs="Arial"/>
              </w:rPr>
            </w:pPr>
            <w:r>
              <w:rPr>
                <w:rFonts w:ascii="Arial" w:hAnsi="Arial" w:cs="Arial"/>
              </w:rPr>
              <w:t>Legal Implications - there are no new legal implications arising from this report.</w:t>
            </w:r>
          </w:p>
          <w:p w:rsidR="00280008" w:rsidRDefault="00280008" w:rsidP="00050D22">
            <w:pPr>
              <w:autoSpaceDE w:val="0"/>
              <w:autoSpaceDN w:val="0"/>
              <w:adjustRightInd w:val="0"/>
              <w:jc w:val="both"/>
              <w:rPr>
                <w:rFonts w:ascii="Arial" w:hAnsi="Arial" w:cs="Arial"/>
              </w:rPr>
            </w:pPr>
          </w:p>
        </w:tc>
      </w:tr>
      <w:tr w:rsidR="00610F52" w:rsidRPr="0089449E">
        <w:tc>
          <w:tcPr>
            <w:tcW w:w="817" w:type="dxa"/>
          </w:tcPr>
          <w:p w:rsidR="00610F52" w:rsidRDefault="00610F52" w:rsidP="00A3731A">
            <w:pPr>
              <w:autoSpaceDE w:val="0"/>
              <w:autoSpaceDN w:val="0"/>
              <w:adjustRightInd w:val="0"/>
              <w:rPr>
                <w:rFonts w:ascii="Arial" w:hAnsi="Arial" w:cs="Arial"/>
              </w:rPr>
            </w:pPr>
            <w:r>
              <w:rPr>
                <w:rFonts w:ascii="Arial" w:hAnsi="Arial" w:cs="Arial"/>
              </w:rPr>
              <w:t>13.3</w:t>
            </w:r>
          </w:p>
          <w:p w:rsidR="00610F52" w:rsidRDefault="00610F52" w:rsidP="00A3731A">
            <w:pPr>
              <w:autoSpaceDE w:val="0"/>
              <w:autoSpaceDN w:val="0"/>
              <w:adjustRightInd w:val="0"/>
              <w:rPr>
                <w:rFonts w:ascii="Arial" w:hAnsi="Arial" w:cs="Arial"/>
                <w:b/>
              </w:rPr>
            </w:pPr>
          </w:p>
        </w:tc>
        <w:tc>
          <w:tcPr>
            <w:tcW w:w="8647" w:type="dxa"/>
          </w:tcPr>
          <w:p w:rsidR="00610F52" w:rsidRDefault="00610F52" w:rsidP="00A3731A">
            <w:pPr>
              <w:autoSpaceDE w:val="0"/>
              <w:autoSpaceDN w:val="0"/>
              <w:adjustRightInd w:val="0"/>
              <w:jc w:val="both"/>
              <w:rPr>
                <w:rFonts w:ascii="Arial" w:hAnsi="Arial" w:cs="Arial"/>
              </w:rPr>
            </w:pPr>
            <w:r w:rsidRPr="00280008">
              <w:rPr>
                <w:rFonts w:ascii="Arial" w:hAnsi="Arial" w:cs="Arial"/>
              </w:rPr>
              <w:t>Equality Implications – there are no new equality implications arising from this report.</w:t>
            </w:r>
          </w:p>
          <w:p w:rsidR="00610F52" w:rsidRPr="00280008" w:rsidRDefault="00610F52" w:rsidP="00A3731A">
            <w:pPr>
              <w:autoSpaceDE w:val="0"/>
              <w:autoSpaceDN w:val="0"/>
              <w:adjustRightInd w:val="0"/>
              <w:jc w:val="both"/>
              <w:rPr>
                <w:rFonts w:ascii="Arial" w:hAnsi="Arial" w:cs="Arial"/>
              </w:rPr>
            </w:pPr>
          </w:p>
        </w:tc>
      </w:tr>
      <w:tr w:rsidR="00610F52" w:rsidRPr="0089449E">
        <w:tc>
          <w:tcPr>
            <w:tcW w:w="817" w:type="dxa"/>
          </w:tcPr>
          <w:p w:rsidR="00610F52" w:rsidRPr="00280008" w:rsidRDefault="00610F52" w:rsidP="00050D22">
            <w:pPr>
              <w:autoSpaceDE w:val="0"/>
              <w:autoSpaceDN w:val="0"/>
              <w:adjustRightInd w:val="0"/>
              <w:rPr>
                <w:rFonts w:ascii="Arial" w:hAnsi="Arial" w:cs="Arial"/>
              </w:rPr>
            </w:pPr>
            <w:r>
              <w:rPr>
                <w:rFonts w:ascii="Arial" w:hAnsi="Arial" w:cs="Arial"/>
              </w:rPr>
              <w:t>13.4</w:t>
            </w:r>
          </w:p>
          <w:p w:rsidR="00610F52" w:rsidRPr="00280008" w:rsidRDefault="00610F52" w:rsidP="00590C36">
            <w:pPr>
              <w:autoSpaceDE w:val="0"/>
              <w:autoSpaceDN w:val="0"/>
              <w:adjustRightInd w:val="0"/>
              <w:rPr>
                <w:rFonts w:ascii="Arial" w:hAnsi="Arial" w:cs="Arial"/>
              </w:rPr>
            </w:pPr>
          </w:p>
        </w:tc>
        <w:tc>
          <w:tcPr>
            <w:tcW w:w="8647" w:type="dxa"/>
          </w:tcPr>
          <w:p w:rsidR="00610F52" w:rsidRDefault="00610F52" w:rsidP="00A241C4">
            <w:pPr>
              <w:autoSpaceDE w:val="0"/>
              <w:autoSpaceDN w:val="0"/>
              <w:adjustRightInd w:val="0"/>
              <w:jc w:val="both"/>
              <w:rPr>
                <w:rFonts w:ascii="Arial" w:hAnsi="Arial" w:cs="Arial"/>
              </w:rPr>
            </w:pPr>
            <w:r>
              <w:rPr>
                <w:rFonts w:ascii="Arial" w:hAnsi="Arial" w:cs="Arial"/>
              </w:rPr>
              <w:t xml:space="preserve">Risk Implications – there are no new risk implications arising from this report. </w:t>
            </w:r>
          </w:p>
          <w:p w:rsidR="00610F52" w:rsidRPr="0089449E" w:rsidRDefault="00610F52" w:rsidP="00590C36">
            <w:pPr>
              <w:autoSpaceDE w:val="0"/>
              <w:autoSpaceDN w:val="0"/>
              <w:adjustRightInd w:val="0"/>
              <w:jc w:val="both"/>
              <w:rPr>
                <w:rFonts w:ascii="Arial" w:hAnsi="Arial" w:cs="Arial"/>
                <w:b/>
              </w:rPr>
            </w:pPr>
          </w:p>
        </w:tc>
      </w:tr>
    </w:tbl>
    <w:p w:rsidR="0039450A" w:rsidRDefault="0039450A" w:rsidP="00416BFF">
      <w:pPr>
        <w:rPr>
          <w:rFonts w:ascii="Arial" w:hAnsi="Arial" w:cs="Arial"/>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555FC1" w:rsidRPr="0089449E" w:rsidTr="00555FC1">
        <w:trPr>
          <w:cantSplit/>
        </w:trPr>
        <w:tc>
          <w:tcPr>
            <w:tcW w:w="9464" w:type="dxa"/>
          </w:tcPr>
          <w:p w:rsidR="00555FC1" w:rsidRPr="00555FC1" w:rsidRDefault="00555FC1" w:rsidP="00555FC1">
            <w:pPr>
              <w:pStyle w:val="Heading2"/>
              <w:rPr>
                <w:rFonts w:ascii="Arial" w:hAnsi="Arial" w:cs="Arial"/>
                <w:b/>
                <w:szCs w:val="24"/>
                <w:u w:val="none"/>
              </w:rPr>
            </w:pPr>
            <w:r>
              <w:rPr>
                <w:rFonts w:ascii="Arial" w:hAnsi="Arial" w:cs="Arial"/>
                <w:b/>
                <w:szCs w:val="24"/>
                <w:u w:val="none"/>
              </w:rPr>
              <w:t xml:space="preserve"> Recommendations</w:t>
            </w:r>
          </w:p>
          <w:p w:rsidR="00555FC1" w:rsidRPr="00B12C74" w:rsidRDefault="00555FC1" w:rsidP="00555FC1">
            <w:pPr>
              <w:jc w:val="both"/>
              <w:rPr>
                <w:rFonts w:ascii="Arial" w:hAnsi="Arial" w:cs="Arial"/>
                <w:szCs w:val="24"/>
              </w:rPr>
            </w:pPr>
          </w:p>
          <w:p w:rsidR="0072624F" w:rsidRDefault="00690507" w:rsidP="00690507">
            <w:pPr>
              <w:jc w:val="both"/>
              <w:rPr>
                <w:rFonts w:ascii="Arial" w:hAnsi="Arial" w:cs="Arial"/>
                <w:szCs w:val="24"/>
              </w:rPr>
            </w:pPr>
            <w:r>
              <w:rPr>
                <w:rFonts w:ascii="Arial" w:hAnsi="Arial" w:cs="Arial"/>
                <w:szCs w:val="24"/>
              </w:rPr>
              <w:t xml:space="preserve">It is recommended Directors </w:t>
            </w:r>
            <w:r w:rsidR="00186DF1">
              <w:rPr>
                <w:rFonts w:ascii="Arial" w:hAnsi="Arial" w:cs="Arial"/>
                <w:szCs w:val="24"/>
              </w:rPr>
              <w:t>comment on and note the updates</w:t>
            </w:r>
            <w:r>
              <w:rPr>
                <w:rFonts w:ascii="Arial" w:hAnsi="Arial" w:cs="Arial"/>
                <w:szCs w:val="24"/>
              </w:rPr>
              <w:t>.</w:t>
            </w:r>
          </w:p>
          <w:p w:rsidR="00690507" w:rsidRPr="00690507" w:rsidRDefault="00690507" w:rsidP="00690507">
            <w:pPr>
              <w:jc w:val="both"/>
              <w:rPr>
                <w:rFonts w:ascii="Arial" w:hAnsi="Arial" w:cs="Arial"/>
                <w:szCs w:val="24"/>
              </w:rPr>
            </w:pPr>
          </w:p>
        </w:tc>
      </w:tr>
    </w:tbl>
    <w:p w:rsidR="00555FC1" w:rsidRPr="0089449E" w:rsidRDefault="00555FC1" w:rsidP="00416BFF">
      <w:pPr>
        <w:rPr>
          <w:rFonts w:ascii="Arial" w:hAnsi="Arial" w:cs="Arial"/>
          <w:szCs w:val="24"/>
        </w:rPr>
      </w:pPr>
    </w:p>
    <w:p w:rsidR="0039450A" w:rsidRDefault="0039450A" w:rsidP="00416BFF">
      <w:pPr>
        <w:rPr>
          <w:rFonts w:ascii="Arial" w:hAnsi="Arial" w:cs="Arial"/>
          <w:szCs w:val="24"/>
        </w:rPr>
      </w:pPr>
      <w:r w:rsidRPr="0089449E">
        <w:rPr>
          <w:rFonts w:ascii="Arial" w:hAnsi="Arial" w:cs="Arial"/>
          <w:szCs w:val="24"/>
        </w:rPr>
        <w:t>Designation:</w:t>
      </w:r>
      <w:r w:rsidR="0067538A" w:rsidRPr="0089449E">
        <w:rPr>
          <w:rFonts w:ascii="Arial" w:hAnsi="Arial" w:cs="Arial"/>
          <w:szCs w:val="24"/>
        </w:rPr>
        <w:tab/>
        <w:t>Chief Executive</w:t>
      </w:r>
    </w:p>
    <w:p w:rsidR="0008589E" w:rsidRPr="0089449E" w:rsidRDefault="0008589E" w:rsidP="00416BFF">
      <w:pPr>
        <w:rPr>
          <w:rFonts w:ascii="Arial" w:hAnsi="Arial" w:cs="Arial"/>
          <w:szCs w:val="24"/>
        </w:rPr>
      </w:pPr>
    </w:p>
    <w:p w:rsidR="005F0414" w:rsidRDefault="0039450A">
      <w:pPr>
        <w:rPr>
          <w:rFonts w:ascii="Arial" w:hAnsi="Arial" w:cs="Arial"/>
          <w:szCs w:val="24"/>
        </w:rPr>
      </w:pPr>
      <w:r w:rsidRPr="0089449E">
        <w:rPr>
          <w:rFonts w:ascii="Arial" w:hAnsi="Arial" w:cs="Arial"/>
          <w:szCs w:val="24"/>
        </w:rPr>
        <w:t>Date:</w:t>
      </w:r>
      <w:r w:rsidRPr="0089449E">
        <w:rPr>
          <w:rFonts w:ascii="Arial" w:hAnsi="Arial" w:cs="Arial"/>
          <w:szCs w:val="24"/>
        </w:rPr>
        <w:tab/>
      </w:r>
      <w:r w:rsidRPr="0089449E">
        <w:rPr>
          <w:rFonts w:ascii="Arial" w:hAnsi="Arial" w:cs="Arial"/>
          <w:szCs w:val="24"/>
        </w:rPr>
        <w:tab/>
      </w:r>
      <w:r w:rsidR="00196399">
        <w:rPr>
          <w:rFonts w:ascii="Arial" w:hAnsi="Arial" w:cs="Arial"/>
          <w:szCs w:val="24"/>
        </w:rPr>
        <w:t>11</w:t>
      </w:r>
      <w:r w:rsidR="00BE155F">
        <w:rPr>
          <w:rFonts w:ascii="Arial" w:hAnsi="Arial" w:cs="Arial"/>
          <w:szCs w:val="24"/>
        </w:rPr>
        <w:t xml:space="preserve"> June </w:t>
      </w:r>
      <w:r w:rsidR="006F3071">
        <w:rPr>
          <w:rFonts w:ascii="Arial" w:hAnsi="Arial" w:cs="Arial"/>
          <w:szCs w:val="24"/>
        </w:rPr>
        <w:t>2019</w:t>
      </w:r>
    </w:p>
    <w:sectPr w:rsidR="005F0414" w:rsidSect="00DD3C91">
      <w:pgSz w:w="11906" w:h="16838"/>
      <w:pgMar w:top="993" w:right="1440" w:bottom="1135"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BC7" w:rsidRDefault="00C71BC7">
      <w:r>
        <w:separator/>
      </w:r>
    </w:p>
  </w:endnote>
  <w:endnote w:type="continuationSeparator" w:id="0">
    <w:p w:rsidR="00C71BC7" w:rsidRDefault="00C71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BC7" w:rsidRDefault="00C71BC7">
      <w:r>
        <w:separator/>
      </w:r>
    </w:p>
  </w:footnote>
  <w:footnote w:type="continuationSeparator" w:id="0">
    <w:p w:rsidR="00C71BC7" w:rsidRDefault="00C71B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hanging="361"/>
      </w:pPr>
      <w:rPr>
        <w:rFonts w:ascii="Arial" w:hAnsi="Arial" w:cs="Arial"/>
        <w:b w:val="0"/>
        <w:bCs w:val="0"/>
        <w:w w:val="13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numFmt w:val="bullet"/>
      <w:lvlText w:val="•"/>
      <w:lvlJc w:val="left"/>
      <w:pPr>
        <w:ind w:hanging="351"/>
      </w:pPr>
      <w:rPr>
        <w:rFonts w:ascii="Arial" w:hAnsi="Arial" w:cs="Arial"/>
        <w:b w:val="0"/>
        <w:bCs w:val="0"/>
        <w:color w:val="313131"/>
        <w:w w:val="148"/>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2EC4789"/>
    <w:multiLevelType w:val="hybridMultilevel"/>
    <w:tmpl w:val="2070B34E"/>
    <w:lvl w:ilvl="0" w:tplc="8074674A">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04FC5BE7"/>
    <w:multiLevelType w:val="hybridMultilevel"/>
    <w:tmpl w:val="E47870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8BC4EEF"/>
    <w:multiLevelType w:val="hybridMultilevel"/>
    <w:tmpl w:val="EB5CD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AF87887"/>
    <w:multiLevelType w:val="hybridMultilevel"/>
    <w:tmpl w:val="545A6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1551D0"/>
    <w:multiLevelType w:val="hybridMultilevel"/>
    <w:tmpl w:val="CDDCFB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04E31D3"/>
    <w:multiLevelType w:val="hybridMultilevel"/>
    <w:tmpl w:val="064CC9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19F3DDC"/>
    <w:multiLevelType w:val="hybridMultilevel"/>
    <w:tmpl w:val="D66A2A0A"/>
    <w:lvl w:ilvl="0" w:tplc="0809001B">
      <w:start w:val="1"/>
      <w:numFmt w:val="low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6643D80"/>
    <w:multiLevelType w:val="hybridMultilevel"/>
    <w:tmpl w:val="3D8A67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19366771"/>
    <w:multiLevelType w:val="hybridMultilevel"/>
    <w:tmpl w:val="58BA3922"/>
    <w:lvl w:ilvl="0" w:tplc="F09E5CFA">
      <w:start w:val="1"/>
      <w:numFmt w:val="lowerLetter"/>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11">
    <w:nsid w:val="1DCB1D2E"/>
    <w:multiLevelType w:val="hybridMultilevel"/>
    <w:tmpl w:val="7B2A908A"/>
    <w:lvl w:ilvl="0" w:tplc="FB220E8C">
      <w:start w:val="1"/>
      <w:numFmt w:val="lowerRoman"/>
      <w:lvlText w:val="%1."/>
      <w:lvlJc w:val="left"/>
      <w:pPr>
        <w:ind w:left="990" w:hanging="72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2">
    <w:nsid w:val="1F454E35"/>
    <w:multiLevelType w:val="hybridMultilevel"/>
    <w:tmpl w:val="19985612"/>
    <w:lvl w:ilvl="0" w:tplc="08090001">
      <w:start w:val="1"/>
      <w:numFmt w:val="bullet"/>
      <w:lvlText w:val=""/>
      <w:lvlJc w:val="left"/>
      <w:pPr>
        <w:ind w:left="1086" w:hanging="360"/>
      </w:pPr>
      <w:rPr>
        <w:rFonts w:ascii="Symbol" w:hAnsi="Symbol" w:hint="default"/>
      </w:rPr>
    </w:lvl>
    <w:lvl w:ilvl="1" w:tplc="08090003" w:tentative="1">
      <w:start w:val="1"/>
      <w:numFmt w:val="bullet"/>
      <w:lvlText w:val="o"/>
      <w:lvlJc w:val="left"/>
      <w:pPr>
        <w:ind w:left="1806" w:hanging="360"/>
      </w:pPr>
      <w:rPr>
        <w:rFonts w:ascii="Courier New" w:hAnsi="Courier New" w:cs="Courier New" w:hint="default"/>
      </w:rPr>
    </w:lvl>
    <w:lvl w:ilvl="2" w:tplc="08090005" w:tentative="1">
      <w:start w:val="1"/>
      <w:numFmt w:val="bullet"/>
      <w:lvlText w:val=""/>
      <w:lvlJc w:val="left"/>
      <w:pPr>
        <w:ind w:left="2526" w:hanging="360"/>
      </w:pPr>
      <w:rPr>
        <w:rFonts w:ascii="Wingdings" w:hAnsi="Wingdings" w:hint="default"/>
      </w:rPr>
    </w:lvl>
    <w:lvl w:ilvl="3" w:tplc="08090001" w:tentative="1">
      <w:start w:val="1"/>
      <w:numFmt w:val="bullet"/>
      <w:lvlText w:val=""/>
      <w:lvlJc w:val="left"/>
      <w:pPr>
        <w:ind w:left="3246" w:hanging="360"/>
      </w:pPr>
      <w:rPr>
        <w:rFonts w:ascii="Symbol" w:hAnsi="Symbol" w:hint="default"/>
      </w:rPr>
    </w:lvl>
    <w:lvl w:ilvl="4" w:tplc="08090003" w:tentative="1">
      <w:start w:val="1"/>
      <w:numFmt w:val="bullet"/>
      <w:lvlText w:val="o"/>
      <w:lvlJc w:val="left"/>
      <w:pPr>
        <w:ind w:left="3966" w:hanging="360"/>
      </w:pPr>
      <w:rPr>
        <w:rFonts w:ascii="Courier New" w:hAnsi="Courier New" w:cs="Courier New" w:hint="default"/>
      </w:rPr>
    </w:lvl>
    <w:lvl w:ilvl="5" w:tplc="08090005" w:tentative="1">
      <w:start w:val="1"/>
      <w:numFmt w:val="bullet"/>
      <w:lvlText w:val=""/>
      <w:lvlJc w:val="left"/>
      <w:pPr>
        <w:ind w:left="4686" w:hanging="360"/>
      </w:pPr>
      <w:rPr>
        <w:rFonts w:ascii="Wingdings" w:hAnsi="Wingdings" w:hint="default"/>
      </w:rPr>
    </w:lvl>
    <w:lvl w:ilvl="6" w:tplc="08090001" w:tentative="1">
      <w:start w:val="1"/>
      <w:numFmt w:val="bullet"/>
      <w:lvlText w:val=""/>
      <w:lvlJc w:val="left"/>
      <w:pPr>
        <w:ind w:left="5406" w:hanging="360"/>
      </w:pPr>
      <w:rPr>
        <w:rFonts w:ascii="Symbol" w:hAnsi="Symbol" w:hint="default"/>
      </w:rPr>
    </w:lvl>
    <w:lvl w:ilvl="7" w:tplc="08090003" w:tentative="1">
      <w:start w:val="1"/>
      <w:numFmt w:val="bullet"/>
      <w:lvlText w:val="o"/>
      <w:lvlJc w:val="left"/>
      <w:pPr>
        <w:ind w:left="6126" w:hanging="360"/>
      </w:pPr>
      <w:rPr>
        <w:rFonts w:ascii="Courier New" w:hAnsi="Courier New" w:cs="Courier New" w:hint="default"/>
      </w:rPr>
    </w:lvl>
    <w:lvl w:ilvl="8" w:tplc="08090005" w:tentative="1">
      <w:start w:val="1"/>
      <w:numFmt w:val="bullet"/>
      <w:lvlText w:val=""/>
      <w:lvlJc w:val="left"/>
      <w:pPr>
        <w:ind w:left="6846" w:hanging="360"/>
      </w:pPr>
      <w:rPr>
        <w:rFonts w:ascii="Wingdings" w:hAnsi="Wingdings" w:hint="default"/>
      </w:rPr>
    </w:lvl>
  </w:abstractNum>
  <w:abstractNum w:abstractNumId="13">
    <w:nsid w:val="22793BDB"/>
    <w:multiLevelType w:val="hybridMultilevel"/>
    <w:tmpl w:val="E320DD5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2E30E30"/>
    <w:multiLevelType w:val="hybridMultilevel"/>
    <w:tmpl w:val="064CC9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32E4D35"/>
    <w:multiLevelType w:val="hybridMultilevel"/>
    <w:tmpl w:val="42F4D5EE"/>
    <w:lvl w:ilvl="0" w:tplc="08090001">
      <w:start w:val="1"/>
      <w:numFmt w:val="bullet"/>
      <w:lvlText w:val=""/>
      <w:lvlJc w:val="left"/>
      <w:pPr>
        <w:ind w:left="1089" w:hanging="360"/>
      </w:pPr>
      <w:rPr>
        <w:rFonts w:ascii="Symbol" w:hAnsi="Symbol" w:hint="default"/>
      </w:rPr>
    </w:lvl>
    <w:lvl w:ilvl="1" w:tplc="08090003" w:tentative="1">
      <w:start w:val="1"/>
      <w:numFmt w:val="bullet"/>
      <w:lvlText w:val="o"/>
      <w:lvlJc w:val="left"/>
      <w:pPr>
        <w:ind w:left="1809" w:hanging="360"/>
      </w:pPr>
      <w:rPr>
        <w:rFonts w:ascii="Courier New" w:hAnsi="Courier New" w:cs="Courier New" w:hint="default"/>
      </w:rPr>
    </w:lvl>
    <w:lvl w:ilvl="2" w:tplc="08090005" w:tentative="1">
      <w:start w:val="1"/>
      <w:numFmt w:val="bullet"/>
      <w:lvlText w:val=""/>
      <w:lvlJc w:val="left"/>
      <w:pPr>
        <w:ind w:left="2529" w:hanging="360"/>
      </w:pPr>
      <w:rPr>
        <w:rFonts w:ascii="Wingdings" w:hAnsi="Wingdings" w:hint="default"/>
      </w:rPr>
    </w:lvl>
    <w:lvl w:ilvl="3" w:tplc="08090001" w:tentative="1">
      <w:start w:val="1"/>
      <w:numFmt w:val="bullet"/>
      <w:lvlText w:val=""/>
      <w:lvlJc w:val="left"/>
      <w:pPr>
        <w:ind w:left="3249" w:hanging="360"/>
      </w:pPr>
      <w:rPr>
        <w:rFonts w:ascii="Symbol" w:hAnsi="Symbol" w:hint="default"/>
      </w:rPr>
    </w:lvl>
    <w:lvl w:ilvl="4" w:tplc="08090003" w:tentative="1">
      <w:start w:val="1"/>
      <w:numFmt w:val="bullet"/>
      <w:lvlText w:val="o"/>
      <w:lvlJc w:val="left"/>
      <w:pPr>
        <w:ind w:left="3969" w:hanging="360"/>
      </w:pPr>
      <w:rPr>
        <w:rFonts w:ascii="Courier New" w:hAnsi="Courier New" w:cs="Courier New" w:hint="default"/>
      </w:rPr>
    </w:lvl>
    <w:lvl w:ilvl="5" w:tplc="08090005" w:tentative="1">
      <w:start w:val="1"/>
      <w:numFmt w:val="bullet"/>
      <w:lvlText w:val=""/>
      <w:lvlJc w:val="left"/>
      <w:pPr>
        <w:ind w:left="4689" w:hanging="360"/>
      </w:pPr>
      <w:rPr>
        <w:rFonts w:ascii="Wingdings" w:hAnsi="Wingdings" w:hint="default"/>
      </w:rPr>
    </w:lvl>
    <w:lvl w:ilvl="6" w:tplc="08090001" w:tentative="1">
      <w:start w:val="1"/>
      <w:numFmt w:val="bullet"/>
      <w:lvlText w:val=""/>
      <w:lvlJc w:val="left"/>
      <w:pPr>
        <w:ind w:left="5409" w:hanging="360"/>
      </w:pPr>
      <w:rPr>
        <w:rFonts w:ascii="Symbol" w:hAnsi="Symbol" w:hint="default"/>
      </w:rPr>
    </w:lvl>
    <w:lvl w:ilvl="7" w:tplc="08090003" w:tentative="1">
      <w:start w:val="1"/>
      <w:numFmt w:val="bullet"/>
      <w:lvlText w:val="o"/>
      <w:lvlJc w:val="left"/>
      <w:pPr>
        <w:ind w:left="6129" w:hanging="360"/>
      </w:pPr>
      <w:rPr>
        <w:rFonts w:ascii="Courier New" w:hAnsi="Courier New" w:cs="Courier New" w:hint="default"/>
      </w:rPr>
    </w:lvl>
    <w:lvl w:ilvl="8" w:tplc="08090005" w:tentative="1">
      <w:start w:val="1"/>
      <w:numFmt w:val="bullet"/>
      <w:lvlText w:val=""/>
      <w:lvlJc w:val="left"/>
      <w:pPr>
        <w:ind w:left="6849" w:hanging="360"/>
      </w:pPr>
      <w:rPr>
        <w:rFonts w:ascii="Wingdings" w:hAnsi="Wingdings" w:hint="default"/>
      </w:rPr>
    </w:lvl>
  </w:abstractNum>
  <w:abstractNum w:abstractNumId="16">
    <w:nsid w:val="2650083D"/>
    <w:multiLevelType w:val="hybridMultilevel"/>
    <w:tmpl w:val="55DC58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2DF24C1F"/>
    <w:multiLevelType w:val="hybridMultilevel"/>
    <w:tmpl w:val="F1561F4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35D86E03"/>
    <w:multiLevelType w:val="hybridMultilevel"/>
    <w:tmpl w:val="E5A20A68"/>
    <w:lvl w:ilvl="0" w:tplc="94BA3E38">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7475E64"/>
    <w:multiLevelType w:val="hybridMultilevel"/>
    <w:tmpl w:val="C92404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395664B2"/>
    <w:multiLevelType w:val="hybridMultilevel"/>
    <w:tmpl w:val="064CC9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AE7793F"/>
    <w:multiLevelType w:val="hybridMultilevel"/>
    <w:tmpl w:val="064CC9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B40528D"/>
    <w:multiLevelType w:val="hybridMultilevel"/>
    <w:tmpl w:val="31FA9FFC"/>
    <w:lvl w:ilvl="0" w:tplc="D0D2C064">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EBF5433"/>
    <w:multiLevelType w:val="hybridMultilevel"/>
    <w:tmpl w:val="D862C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FC41266"/>
    <w:multiLevelType w:val="hybridMultilevel"/>
    <w:tmpl w:val="FBEA0382"/>
    <w:lvl w:ilvl="0" w:tplc="E4EE0582">
      <w:start w:val="1"/>
      <w:numFmt w:val="bullet"/>
      <w:lvlText w:val=""/>
      <w:lvlJc w:val="left"/>
      <w:pPr>
        <w:ind w:left="1400" w:hanging="360"/>
      </w:pPr>
      <w:rPr>
        <w:rFonts w:ascii="Symbol" w:hAnsi="Symbol" w:hint="default"/>
        <w:color w:val="auto"/>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5">
    <w:nsid w:val="41A21F3A"/>
    <w:multiLevelType w:val="hybridMultilevel"/>
    <w:tmpl w:val="064CC9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2283E6B"/>
    <w:multiLevelType w:val="hybridMultilevel"/>
    <w:tmpl w:val="A64AD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43671667"/>
    <w:multiLevelType w:val="hybridMultilevel"/>
    <w:tmpl w:val="1F4C29E8"/>
    <w:lvl w:ilvl="0" w:tplc="E3E8DFB8">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9E52689"/>
    <w:multiLevelType w:val="hybridMultilevel"/>
    <w:tmpl w:val="9A9E278C"/>
    <w:lvl w:ilvl="0" w:tplc="04E298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B6A61CA"/>
    <w:multiLevelType w:val="hybridMultilevel"/>
    <w:tmpl w:val="B0F2C18C"/>
    <w:lvl w:ilvl="0" w:tplc="001C8932">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0">
    <w:nsid w:val="4FCA4110"/>
    <w:multiLevelType w:val="hybridMultilevel"/>
    <w:tmpl w:val="9358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CDF2D0D"/>
    <w:multiLevelType w:val="hybridMultilevel"/>
    <w:tmpl w:val="064CC9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ECC13CC"/>
    <w:multiLevelType w:val="hybridMultilevel"/>
    <w:tmpl w:val="064CC9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2342FC0"/>
    <w:multiLevelType w:val="hybridMultilevel"/>
    <w:tmpl w:val="16C258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698736FA"/>
    <w:multiLevelType w:val="hybridMultilevel"/>
    <w:tmpl w:val="9FD64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CA24599"/>
    <w:multiLevelType w:val="hybridMultilevel"/>
    <w:tmpl w:val="81621C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6E685B74"/>
    <w:multiLevelType w:val="hybridMultilevel"/>
    <w:tmpl w:val="064CC9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63A6A9F"/>
    <w:multiLevelType w:val="hybridMultilevel"/>
    <w:tmpl w:val="064CC9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7787736"/>
    <w:multiLevelType w:val="hybridMultilevel"/>
    <w:tmpl w:val="1846A1E4"/>
    <w:lvl w:ilvl="0" w:tplc="56660C6E">
      <w:start w:val="1"/>
      <w:numFmt w:val="decimal"/>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39">
    <w:nsid w:val="77EC7A2E"/>
    <w:multiLevelType w:val="hybridMultilevel"/>
    <w:tmpl w:val="103AFABE"/>
    <w:lvl w:ilvl="0" w:tplc="0809001B">
      <w:start w:val="1"/>
      <w:numFmt w:val="lowerRoman"/>
      <w:lvlText w:val="%1."/>
      <w:lvlJc w:val="righ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40">
    <w:nsid w:val="7D0621C5"/>
    <w:multiLevelType w:val="hybridMultilevel"/>
    <w:tmpl w:val="7F8A53FC"/>
    <w:lvl w:ilvl="0" w:tplc="04E2983C">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F873CB0"/>
    <w:multiLevelType w:val="hybridMultilevel"/>
    <w:tmpl w:val="B1E662CC"/>
    <w:lvl w:ilvl="0" w:tplc="F2DA3F9C">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8"/>
  </w:num>
  <w:num w:numId="2">
    <w:abstractNumId w:val="21"/>
  </w:num>
  <w:num w:numId="3">
    <w:abstractNumId w:val="14"/>
  </w:num>
  <w:num w:numId="4">
    <w:abstractNumId w:val="16"/>
  </w:num>
  <w:num w:numId="5">
    <w:abstractNumId w:val="18"/>
  </w:num>
  <w:num w:numId="6">
    <w:abstractNumId w:val="24"/>
  </w:num>
  <w:num w:numId="7">
    <w:abstractNumId w:val="33"/>
  </w:num>
  <w:num w:numId="8">
    <w:abstractNumId w:val="26"/>
  </w:num>
  <w:num w:numId="9">
    <w:abstractNumId w:val="3"/>
  </w:num>
  <w:num w:numId="10">
    <w:abstractNumId w:val="15"/>
  </w:num>
  <w:num w:numId="11">
    <w:abstractNumId w:val="6"/>
  </w:num>
  <w:num w:numId="12">
    <w:abstractNumId w:val="35"/>
  </w:num>
  <w:num w:numId="13">
    <w:abstractNumId w:val="12"/>
  </w:num>
  <w:num w:numId="14">
    <w:abstractNumId w:val="19"/>
  </w:num>
  <w:num w:numId="15">
    <w:abstractNumId w:val="9"/>
  </w:num>
  <w:num w:numId="16">
    <w:abstractNumId w:val="30"/>
  </w:num>
  <w:num w:numId="17">
    <w:abstractNumId w:val="23"/>
  </w:num>
  <w:num w:numId="18">
    <w:abstractNumId w:val="5"/>
  </w:num>
  <w:num w:numId="19">
    <w:abstractNumId w:val="29"/>
  </w:num>
  <w:num w:numId="20">
    <w:abstractNumId w:val="1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36"/>
  </w:num>
  <w:num w:numId="24">
    <w:abstractNumId w:val="31"/>
  </w:num>
  <w:num w:numId="25">
    <w:abstractNumId w:val="32"/>
  </w:num>
  <w:num w:numId="26">
    <w:abstractNumId w:val="20"/>
  </w:num>
  <w:num w:numId="27">
    <w:abstractNumId w:val="37"/>
  </w:num>
  <w:num w:numId="28">
    <w:abstractNumId w:val="0"/>
  </w:num>
  <w:num w:numId="29">
    <w:abstractNumId w:val="1"/>
  </w:num>
  <w:num w:numId="30">
    <w:abstractNumId w:val="4"/>
  </w:num>
  <w:num w:numId="31">
    <w:abstractNumId w:val="27"/>
  </w:num>
  <w:num w:numId="32">
    <w:abstractNumId w:val="25"/>
  </w:num>
  <w:num w:numId="33">
    <w:abstractNumId w:val="7"/>
  </w:num>
  <w:num w:numId="34">
    <w:abstractNumId w:val="41"/>
  </w:num>
  <w:num w:numId="35">
    <w:abstractNumId w:val="22"/>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39"/>
  </w:num>
  <w:num w:numId="39">
    <w:abstractNumId w:val="28"/>
  </w:num>
  <w:num w:numId="40">
    <w:abstractNumId w:val="34"/>
  </w:num>
  <w:num w:numId="41">
    <w:abstractNumId w:val="40"/>
  </w:num>
  <w:num w:numId="42">
    <w:abstractNumId w:val="8"/>
  </w:num>
  <w:num w:numId="43">
    <w:abstractNumId w:val="13"/>
  </w:num>
  <w:num w:numId="44">
    <w:abstractNumId w:val="17"/>
    <w:lvlOverride w:ilvl="0">
      <w:startOverride w:val="1"/>
    </w:lvlOverride>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50A"/>
    <w:rsid w:val="00020B41"/>
    <w:rsid w:val="000261C0"/>
    <w:rsid w:val="0003004A"/>
    <w:rsid w:val="000330B6"/>
    <w:rsid w:val="0003591A"/>
    <w:rsid w:val="00050D22"/>
    <w:rsid w:val="00054DE1"/>
    <w:rsid w:val="000551FC"/>
    <w:rsid w:val="000554B2"/>
    <w:rsid w:val="000574B4"/>
    <w:rsid w:val="00062F53"/>
    <w:rsid w:val="00066BA2"/>
    <w:rsid w:val="00077F8B"/>
    <w:rsid w:val="00080FD0"/>
    <w:rsid w:val="00084731"/>
    <w:rsid w:val="0008589E"/>
    <w:rsid w:val="00090B05"/>
    <w:rsid w:val="00091C70"/>
    <w:rsid w:val="00093B82"/>
    <w:rsid w:val="000A7837"/>
    <w:rsid w:val="000B1D32"/>
    <w:rsid w:val="000B6F76"/>
    <w:rsid w:val="000D4BC9"/>
    <w:rsid w:val="000E32C5"/>
    <w:rsid w:val="000F274B"/>
    <w:rsid w:val="000F6071"/>
    <w:rsid w:val="00107147"/>
    <w:rsid w:val="001072B4"/>
    <w:rsid w:val="00113A44"/>
    <w:rsid w:val="001359E1"/>
    <w:rsid w:val="00140C99"/>
    <w:rsid w:val="0015012F"/>
    <w:rsid w:val="001671A2"/>
    <w:rsid w:val="00186DF1"/>
    <w:rsid w:val="00186EB5"/>
    <w:rsid w:val="00192A32"/>
    <w:rsid w:val="00196399"/>
    <w:rsid w:val="001973D8"/>
    <w:rsid w:val="001A0567"/>
    <w:rsid w:val="001A45C4"/>
    <w:rsid w:val="001B2DDC"/>
    <w:rsid w:val="001B448B"/>
    <w:rsid w:val="001C3583"/>
    <w:rsid w:val="001D1D38"/>
    <w:rsid w:val="001F6978"/>
    <w:rsid w:val="00210527"/>
    <w:rsid w:val="002166BB"/>
    <w:rsid w:val="00226F57"/>
    <w:rsid w:val="0023685D"/>
    <w:rsid w:val="00251CEC"/>
    <w:rsid w:val="0025263B"/>
    <w:rsid w:val="00263FA2"/>
    <w:rsid w:val="00267F93"/>
    <w:rsid w:val="00280008"/>
    <w:rsid w:val="00294AEC"/>
    <w:rsid w:val="00294E58"/>
    <w:rsid w:val="002A11C0"/>
    <w:rsid w:val="002A660A"/>
    <w:rsid w:val="002B1635"/>
    <w:rsid w:val="002B3430"/>
    <w:rsid w:val="002B7DC4"/>
    <w:rsid w:val="002B7E63"/>
    <w:rsid w:val="002C1270"/>
    <w:rsid w:val="002C5F24"/>
    <w:rsid w:val="002C68DB"/>
    <w:rsid w:val="002C7DD6"/>
    <w:rsid w:val="002D2844"/>
    <w:rsid w:val="002D5357"/>
    <w:rsid w:val="002D7D16"/>
    <w:rsid w:val="002E1EEF"/>
    <w:rsid w:val="002E349F"/>
    <w:rsid w:val="002F2E6A"/>
    <w:rsid w:val="002F6788"/>
    <w:rsid w:val="003017DE"/>
    <w:rsid w:val="00301DED"/>
    <w:rsid w:val="00306BAA"/>
    <w:rsid w:val="00324C2E"/>
    <w:rsid w:val="00333CAD"/>
    <w:rsid w:val="0033520A"/>
    <w:rsid w:val="00341354"/>
    <w:rsid w:val="00345B42"/>
    <w:rsid w:val="00346C3E"/>
    <w:rsid w:val="00356B53"/>
    <w:rsid w:val="00360BAF"/>
    <w:rsid w:val="00366325"/>
    <w:rsid w:val="0037299B"/>
    <w:rsid w:val="003843D2"/>
    <w:rsid w:val="00386F23"/>
    <w:rsid w:val="003875A7"/>
    <w:rsid w:val="003924C9"/>
    <w:rsid w:val="0039450A"/>
    <w:rsid w:val="003A7248"/>
    <w:rsid w:val="003B0FF6"/>
    <w:rsid w:val="003B6CBF"/>
    <w:rsid w:val="003C202D"/>
    <w:rsid w:val="003E73BB"/>
    <w:rsid w:val="003E7C71"/>
    <w:rsid w:val="003F13BF"/>
    <w:rsid w:val="003F713F"/>
    <w:rsid w:val="00403DEA"/>
    <w:rsid w:val="00407A60"/>
    <w:rsid w:val="00413E57"/>
    <w:rsid w:val="00416BFF"/>
    <w:rsid w:val="0044130C"/>
    <w:rsid w:val="004447C2"/>
    <w:rsid w:val="004455D4"/>
    <w:rsid w:val="00445D1F"/>
    <w:rsid w:val="00447094"/>
    <w:rsid w:val="004476F3"/>
    <w:rsid w:val="0045226F"/>
    <w:rsid w:val="0045351D"/>
    <w:rsid w:val="0046491F"/>
    <w:rsid w:val="0046709C"/>
    <w:rsid w:val="004704DB"/>
    <w:rsid w:val="004806EE"/>
    <w:rsid w:val="00496280"/>
    <w:rsid w:val="004973CD"/>
    <w:rsid w:val="004A104C"/>
    <w:rsid w:val="004A1A72"/>
    <w:rsid w:val="004A338B"/>
    <w:rsid w:val="004B7C55"/>
    <w:rsid w:val="004C4A93"/>
    <w:rsid w:val="004D0BC5"/>
    <w:rsid w:val="004D3AE1"/>
    <w:rsid w:val="004D65FA"/>
    <w:rsid w:val="004D68A8"/>
    <w:rsid w:val="004F4FE1"/>
    <w:rsid w:val="004F6740"/>
    <w:rsid w:val="00504936"/>
    <w:rsid w:val="005058F1"/>
    <w:rsid w:val="00505D55"/>
    <w:rsid w:val="00516F25"/>
    <w:rsid w:val="00517046"/>
    <w:rsid w:val="005304A6"/>
    <w:rsid w:val="005307D1"/>
    <w:rsid w:val="00540480"/>
    <w:rsid w:val="00540C40"/>
    <w:rsid w:val="0054639C"/>
    <w:rsid w:val="005538D9"/>
    <w:rsid w:val="00555FC1"/>
    <w:rsid w:val="00561E6A"/>
    <w:rsid w:val="00563E8A"/>
    <w:rsid w:val="00573546"/>
    <w:rsid w:val="00574600"/>
    <w:rsid w:val="005857E2"/>
    <w:rsid w:val="0058658A"/>
    <w:rsid w:val="00590C36"/>
    <w:rsid w:val="0059426B"/>
    <w:rsid w:val="00596043"/>
    <w:rsid w:val="005A084E"/>
    <w:rsid w:val="005B48BE"/>
    <w:rsid w:val="005B7AD2"/>
    <w:rsid w:val="005C1095"/>
    <w:rsid w:val="005C13D9"/>
    <w:rsid w:val="005D2DA3"/>
    <w:rsid w:val="005E12D5"/>
    <w:rsid w:val="005E23D5"/>
    <w:rsid w:val="005E2417"/>
    <w:rsid w:val="005F0414"/>
    <w:rsid w:val="00610378"/>
    <w:rsid w:val="00610F52"/>
    <w:rsid w:val="006121C6"/>
    <w:rsid w:val="0061518E"/>
    <w:rsid w:val="00615DE0"/>
    <w:rsid w:val="00617921"/>
    <w:rsid w:val="00623273"/>
    <w:rsid w:val="00630532"/>
    <w:rsid w:val="00631A84"/>
    <w:rsid w:val="006405A1"/>
    <w:rsid w:val="00654D94"/>
    <w:rsid w:val="00663093"/>
    <w:rsid w:val="00673F0B"/>
    <w:rsid w:val="006748F2"/>
    <w:rsid w:val="0067538A"/>
    <w:rsid w:val="006769D2"/>
    <w:rsid w:val="00677D30"/>
    <w:rsid w:val="00687467"/>
    <w:rsid w:val="00690507"/>
    <w:rsid w:val="00693401"/>
    <w:rsid w:val="00696263"/>
    <w:rsid w:val="00696DD2"/>
    <w:rsid w:val="006A0F3F"/>
    <w:rsid w:val="006D0028"/>
    <w:rsid w:val="006D4204"/>
    <w:rsid w:val="006E5B0D"/>
    <w:rsid w:val="006E7A34"/>
    <w:rsid w:val="006F0B62"/>
    <w:rsid w:val="006F3071"/>
    <w:rsid w:val="006F6A8D"/>
    <w:rsid w:val="006F6DA9"/>
    <w:rsid w:val="007022A6"/>
    <w:rsid w:val="007063F6"/>
    <w:rsid w:val="00707C87"/>
    <w:rsid w:val="007161EF"/>
    <w:rsid w:val="00716A62"/>
    <w:rsid w:val="007214D1"/>
    <w:rsid w:val="00724732"/>
    <w:rsid w:val="0072624F"/>
    <w:rsid w:val="00733ABF"/>
    <w:rsid w:val="00733C39"/>
    <w:rsid w:val="0074357D"/>
    <w:rsid w:val="0074360E"/>
    <w:rsid w:val="00772D75"/>
    <w:rsid w:val="00776884"/>
    <w:rsid w:val="00790204"/>
    <w:rsid w:val="0079043C"/>
    <w:rsid w:val="00790E27"/>
    <w:rsid w:val="00791761"/>
    <w:rsid w:val="007A0382"/>
    <w:rsid w:val="007A4C81"/>
    <w:rsid w:val="007A4F2A"/>
    <w:rsid w:val="007B28EE"/>
    <w:rsid w:val="007B7D52"/>
    <w:rsid w:val="007C0413"/>
    <w:rsid w:val="007C4033"/>
    <w:rsid w:val="007C6B50"/>
    <w:rsid w:val="007D2AFE"/>
    <w:rsid w:val="007E7F92"/>
    <w:rsid w:val="007F1547"/>
    <w:rsid w:val="007F474D"/>
    <w:rsid w:val="007F5A47"/>
    <w:rsid w:val="007F5C39"/>
    <w:rsid w:val="0080441F"/>
    <w:rsid w:val="0080596F"/>
    <w:rsid w:val="00807937"/>
    <w:rsid w:val="00811A6F"/>
    <w:rsid w:val="00817AAC"/>
    <w:rsid w:val="00825FD9"/>
    <w:rsid w:val="00833EB7"/>
    <w:rsid w:val="0084114E"/>
    <w:rsid w:val="00851CF2"/>
    <w:rsid w:val="00861106"/>
    <w:rsid w:val="00867A34"/>
    <w:rsid w:val="0088587A"/>
    <w:rsid w:val="0089449E"/>
    <w:rsid w:val="0089588A"/>
    <w:rsid w:val="008A1F14"/>
    <w:rsid w:val="008A212E"/>
    <w:rsid w:val="008A51D2"/>
    <w:rsid w:val="008B4BAF"/>
    <w:rsid w:val="008B4D54"/>
    <w:rsid w:val="008E375A"/>
    <w:rsid w:val="008F1291"/>
    <w:rsid w:val="008F3159"/>
    <w:rsid w:val="008F5A22"/>
    <w:rsid w:val="0091029D"/>
    <w:rsid w:val="00915C25"/>
    <w:rsid w:val="0092031D"/>
    <w:rsid w:val="009221C7"/>
    <w:rsid w:val="00931E71"/>
    <w:rsid w:val="009343A4"/>
    <w:rsid w:val="00947F7B"/>
    <w:rsid w:val="00951FCB"/>
    <w:rsid w:val="00957E51"/>
    <w:rsid w:val="00963286"/>
    <w:rsid w:val="00965998"/>
    <w:rsid w:val="00967254"/>
    <w:rsid w:val="0096777A"/>
    <w:rsid w:val="009708FB"/>
    <w:rsid w:val="0097099E"/>
    <w:rsid w:val="00972093"/>
    <w:rsid w:val="00972FDE"/>
    <w:rsid w:val="00975019"/>
    <w:rsid w:val="00977CB1"/>
    <w:rsid w:val="00980EA0"/>
    <w:rsid w:val="0098449B"/>
    <w:rsid w:val="00985128"/>
    <w:rsid w:val="00991003"/>
    <w:rsid w:val="0099552E"/>
    <w:rsid w:val="00996A88"/>
    <w:rsid w:val="009A1902"/>
    <w:rsid w:val="009A2DC2"/>
    <w:rsid w:val="009C27EE"/>
    <w:rsid w:val="009C6FDD"/>
    <w:rsid w:val="009C79AB"/>
    <w:rsid w:val="009D27A9"/>
    <w:rsid w:val="009D3014"/>
    <w:rsid w:val="009D4E67"/>
    <w:rsid w:val="009E0393"/>
    <w:rsid w:val="009E72FA"/>
    <w:rsid w:val="009F1DA8"/>
    <w:rsid w:val="009F6E6F"/>
    <w:rsid w:val="00A05358"/>
    <w:rsid w:val="00A2043D"/>
    <w:rsid w:val="00A241C4"/>
    <w:rsid w:val="00A31CFF"/>
    <w:rsid w:val="00A47A09"/>
    <w:rsid w:val="00A50811"/>
    <w:rsid w:val="00A50926"/>
    <w:rsid w:val="00A53534"/>
    <w:rsid w:val="00A56513"/>
    <w:rsid w:val="00A5750F"/>
    <w:rsid w:val="00A60E0A"/>
    <w:rsid w:val="00A61311"/>
    <w:rsid w:val="00A61654"/>
    <w:rsid w:val="00A61FF9"/>
    <w:rsid w:val="00A763BC"/>
    <w:rsid w:val="00A7787A"/>
    <w:rsid w:val="00A8159A"/>
    <w:rsid w:val="00A860E1"/>
    <w:rsid w:val="00A923FD"/>
    <w:rsid w:val="00A936EC"/>
    <w:rsid w:val="00A97015"/>
    <w:rsid w:val="00AA04F3"/>
    <w:rsid w:val="00AC59E8"/>
    <w:rsid w:val="00AC66C5"/>
    <w:rsid w:val="00AC77DC"/>
    <w:rsid w:val="00AD0502"/>
    <w:rsid w:val="00AD0D67"/>
    <w:rsid w:val="00AD2174"/>
    <w:rsid w:val="00AD5B55"/>
    <w:rsid w:val="00AE0E89"/>
    <w:rsid w:val="00AF02B6"/>
    <w:rsid w:val="00AF545E"/>
    <w:rsid w:val="00B035CB"/>
    <w:rsid w:val="00B12C74"/>
    <w:rsid w:val="00B13579"/>
    <w:rsid w:val="00B13810"/>
    <w:rsid w:val="00B2443A"/>
    <w:rsid w:val="00B26FE3"/>
    <w:rsid w:val="00B31F25"/>
    <w:rsid w:val="00B33A16"/>
    <w:rsid w:val="00B41BEF"/>
    <w:rsid w:val="00B420F8"/>
    <w:rsid w:val="00B4511E"/>
    <w:rsid w:val="00B46B39"/>
    <w:rsid w:val="00B46E01"/>
    <w:rsid w:val="00B56CDC"/>
    <w:rsid w:val="00B642D7"/>
    <w:rsid w:val="00B64B77"/>
    <w:rsid w:val="00B70DD8"/>
    <w:rsid w:val="00B83469"/>
    <w:rsid w:val="00B84929"/>
    <w:rsid w:val="00B850CF"/>
    <w:rsid w:val="00B90FEE"/>
    <w:rsid w:val="00BA7621"/>
    <w:rsid w:val="00BB35C1"/>
    <w:rsid w:val="00BB4484"/>
    <w:rsid w:val="00BB4A08"/>
    <w:rsid w:val="00BE155F"/>
    <w:rsid w:val="00C00E67"/>
    <w:rsid w:val="00C23422"/>
    <w:rsid w:val="00C32A2A"/>
    <w:rsid w:val="00C34A7E"/>
    <w:rsid w:val="00C3617E"/>
    <w:rsid w:val="00C37DF3"/>
    <w:rsid w:val="00C41B87"/>
    <w:rsid w:val="00C443BA"/>
    <w:rsid w:val="00C44828"/>
    <w:rsid w:val="00C71BC7"/>
    <w:rsid w:val="00C72600"/>
    <w:rsid w:val="00C76C7E"/>
    <w:rsid w:val="00C8005D"/>
    <w:rsid w:val="00C86B05"/>
    <w:rsid w:val="00C97A35"/>
    <w:rsid w:val="00CB2AFA"/>
    <w:rsid w:val="00CB4C24"/>
    <w:rsid w:val="00CB7060"/>
    <w:rsid w:val="00CB774B"/>
    <w:rsid w:val="00CD63DC"/>
    <w:rsid w:val="00CE1556"/>
    <w:rsid w:val="00CE1DF3"/>
    <w:rsid w:val="00CE3065"/>
    <w:rsid w:val="00CE6A5E"/>
    <w:rsid w:val="00CF6265"/>
    <w:rsid w:val="00D03F91"/>
    <w:rsid w:val="00D15130"/>
    <w:rsid w:val="00D4539E"/>
    <w:rsid w:val="00D47B50"/>
    <w:rsid w:val="00D50FD0"/>
    <w:rsid w:val="00D540BE"/>
    <w:rsid w:val="00D57CDF"/>
    <w:rsid w:val="00D658D1"/>
    <w:rsid w:val="00D811D3"/>
    <w:rsid w:val="00D8346A"/>
    <w:rsid w:val="00D842DB"/>
    <w:rsid w:val="00D87D93"/>
    <w:rsid w:val="00D90A8D"/>
    <w:rsid w:val="00D916DE"/>
    <w:rsid w:val="00DA5818"/>
    <w:rsid w:val="00DB0815"/>
    <w:rsid w:val="00DB3601"/>
    <w:rsid w:val="00DD3C91"/>
    <w:rsid w:val="00DD3FEC"/>
    <w:rsid w:val="00DE1E6C"/>
    <w:rsid w:val="00DE203F"/>
    <w:rsid w:val="00DE272A"/>
    <w:rsid w:val="00DE4D70"/>
    <w:rsid w:val="00DE5F32"/>
    <w:rsid w:val="00DF62A8"/>
    <w:rsid w:val="00E00904"/>
    <w:rsid w:val="00E00C8A"/>
    <w:rsid w:val="00E025B8"/>
    <w:rsid w:val="00E05EF0"/>
    <w:rsid w:val="00E07DC0"/>
    <w:rsid w:val="00E123AE"/>
    <w:rsid w:val="00E159A4"/>
    <w:rsid w:val="00E25D85"/>
    <w:rsid w:val="00E304DA"/>
    <w:rsid w:val="00E33025"/>
    <w:rsid w:val="00E345B1"/>
    <w:rsid w:val="00E45B7F"/>
    <w:rsid w:val="00E47B0B"/>
    <w:rsid w:val="00E51AE0"/>
    <w:rsid w:val="00E57EA0"/>
    <w:rsid w:val="00E635F3"/>
    <w:rsid w:val="00E82BE9"/>
    <w:rsid w:val="00E87480"/>
    <w:rsid w:val="00E9032E"/>
    <w:rsid w:val="00E926F1"/>
    <w:rsid w:val="00E97ABE"/>
    <w:rsid w:val="00EA1F0A"/>
    <w:rsid w:val="00EA6D79"/>
    <w:rsid w:val="00EA70C6"/>
    <w:rsid w:val="00EB0CA7"/>
    <w:rsid w:val="00EB7CC3"/>
    <w:rsid w:val="00EC455A"/>
    <w:rsid w:val="00EC4CB9"/>
    <w:rsid w:val="00ED6AD5"/>
    <w:rsid w:val="00F00614"/>
    <w:rsid w:val="00F067E4"/>
    <w:rsid w:val="00F0681D"/>
    <w:rsid w:val="00F06CED"/>
    <w:rsid w:val="00F14CD9"/>
    <w:rsid w:val="00F32670"/>
    <w:rsid w:val="00F3541E"/>
    <w:rsid w:val="00F458F8"/>
    <w:rsid w:val="00F50A4F"/>
    <w:rsid w:val="00F50D03"/>
    <w:rsid w:val="00F51569"/>
    <w:rsid w:val="00F636CF"/>
    <w:rsid w:val="00F63E69"/>
    <w:rsid w:val="00F669CC"/>
    <w:rsid w:val="00F745B5"/>
    <w:rsid w:val="00F74730"/>
    <w:rsid w:val="00F8113B"/>
    <w:rsid w:val="00F91495"/>
    <w:rsid w:val="00FA053D"/>
    <w:rsid w:val="00FB11B3"/>
    <w:rsid w:val="00FB15EC"/>
    <w:rsid w:val="00FC7D8F"/>
    <w:rsid w:val="00FD3E30"/>
    <w:rsid w:val="00FD3F7E"/>
    <w:rsid w:val="00FD4165"/>
    <w:rsid w:val="00FE0838"/>
    <w:rsid w:val="00FE39AA"/>
    <w:rsid w:val="00FE4D79"/>
    <w:rsid w:val="00FE4E5E"/>
    <w:rsid w:val="00FF4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3D9"/>
    <w:rPr>
      <w:sz w:val="24"/>
    </w:rPr>
  </w:style>
  <w:style w:type="paragraph" w:styleId="Heading1">
    <w:name w:val="heading 1"/>
    <w:basedOn w:val="Normal"/>
    <w:next w:val="Normal"/>
    <w:link w:val="Heading1Char"/>
    <w:uiPriority w:val="1"/>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center"/>
    </w:pPr>
    <w:rPr>
      <w:b/>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rsid w:val="0039450A"/>
    <w:pPr>
      <w:tabs>
        <w:tab w:val="center" w:pos="4153"/>
        <w:tab w:val="right" w:pos="8306"/>
      </w:tabs>
    </w:pPr>
  </w:style>
  <w:style w:type="character" w:styleId="Hyperlink">
    <w:name w:val="Hyperlink"/>
    <w:unhideWhenUsed/>
    <w:rsid w:val="00356B53"/>
    <w:rPr>
      <w:color w:val="0000FF"/>
      <w:u w:val="single"/>
    </w:rPr>
  </w:style>
  <w:style w:type="character" w:styleId="FollowedHyperlink">
    <w:name w:val="FollowedHyperlink"/>
    <w:uiPriority w:val="99"/>
    <w:semiHidden/>
    <w:unhideWhenUsed/>
    <w:rsid w:val="00B26FE3"/>
    <w:rPr>
      <w:color w:val="800080"/>
      <w:u w:val="single"/>
    </w:rPr>
  </w:style>
  <w:style w:type="paragraph" w:styleId="ListParagraph">
    <w:name w:val="List Paragraph"/>
    <w:basedOn w:val="Normal"/>
    <w:uiPriority w:val="34"/>
    <w:qFormat/>
    <w:rsid w:val="00B26FE3"/>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1671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37DF3"/>
    <w:rPr>
      <w:sz w:val="24"/>
    </w:rPr>
  </w:style>
  <w:style w:type="character" w:customStyle="1" w:styleId="HeaderChar">
    <w:name w:val="Header Char"/>
    <w:link w:val="Header"/>
    <w:uiPriority w:val="99"/>
    <w:rsid w:val="00C37DF3"/>
    <w:rPr>
      <w:sz w:val="24"/>
    </w:rPr>
  </w:style>
  <w:style w:type="paragraph" w:styleId="NormalWeb">
    <w:name w:val="Normal (Web)"/>
    <w:basedOn w:val="Normal"/>
    <w:uiPriority w:val="99"/>
    <w:semiHidden/>
    <w:unhideWhenUsed/>
    <w:rsid w:val="00C37DF3"/>
    <w:pPr>
      <w:spacing w:before="100" w:beforeAutospacing="1" w:after="100" w:afterAutospacing="1"/>
    </w:pPr>
    <w:rPr>
      <w:szCs w:val="24"/>
    </w:rPr>
  </w:style>
  <w:style w:type="character" w:styleId="Strong">
    <w:name w:val="Strong"/>
    <w:uiPriority w:val="22"/>
    <w:qFormat/>
    <w:rsid w:val="00C37DF3"/>
    <w:rPr>
      <w:b/>
      <w:bCs/>
    </w:rPr>
  </w:style>
  <w:style w:type="paragraph" w:styleId="BalloonText">
    <w:name w:val="Balloon Text"/>
    <w:basedOn w:val="Normal"/>
    <w:link w:val="BalloonTextChar"/>
    <w:uiPriority w:val="99"/>
    <w:semiHidden/>
    <w:unhideWhenUsed/>
    <w:rsid w:val="00C37DF3"/>
    <w:rPr>
      <w:rFonts w:ascii="Tahoma" w:hAnsi="Tahoma" w:cs="Tahoma"/>
      <w:sz w:val="16"/>
      <w:szCs w:val="16"/>
    </w:rPr>
  </w:style>
  <w:style w:type="character" w:customStyle="1" w:styleId="BalloonTextChar">
    <w:name w:val="Balloon Text Char"/>
    <w:basedOn w:val="DefaultParagraphFont"/>
    <w:link w:val="BalloonText"/>
    <w:uiPriority w:val="99"/>
    <w:semiHidden/>
    <w:rsid w:val="00C37DF3"/>
    <w:rPr>
      <w:rFonts w:ascii="Tahoma" w:hAnsi="Tahoma" w:cs="Tahoma"/>
      <w:sz w:val="16"/>
      <w:szCs w:val="16"/>
    </w:rPr>
  </w:style>
  <w:style w:type="character" w:customStyle="1" w:styleId="text">
    <w:name w:val="text"/>
    <w:rsid w:val="00C37DF3"/>
    <w:rPr>
      <w:rFonts w:ascii="Arial Unicode MS" w:eastAsia="Arial Unicode MS" w:hAnsi="Arial Unicode MS" w:cs="Arial Unicode MS"/>
      <w:sz w:val="20"/>
      <w:szCs w:val="20"/>
    </w:rPr>
  </w:style>
  <w:style w:type="paragraph" w:customStyle="1" w:styleId="headingheader">
    <w:name w:val="heading header"/>
    <w:rsid w:val="00C37DF3"/>
    <w:pPr>
      <w:spacing w:after="200" w:line="276" w:lineRule="auto"/>
    </w:pPr>
    <w:rPr>
      <w:rFonts w:ascii="Arial Unicode MS" w:eastAsia="Arial Unicode MS" w:hAnsi="Arial Unicode MS" w:cs="Arial Unicode MS"/>
      <w:b/>
      <w:sz w:val="44"/>
      <w:szCs w:val="44"/>
    </w:rPr>
  </w:style>
  <w:style w:type="paragraph" w:customStyle="1" w:styleId="headingquestionTitle">
    <w:name w:val="heading questionTitle"/>
    <w:rsid w:val="00C37DF3"/>
    <w:pPr>
      <w:spacing w:after="200" w:line="276" w:lineRule="auto"/>
    </w:pPr>
    <w:rPr>
      <w:rFonts w:ascii="Arial Unicode MS" w:eastAsia="Arial Unicode MS" w:hAnsi="Arial Unicode MS" w:cs="Arial Unicode MS"/>
      <w:b/>
      <w:sz w:val="32"/>
      <w:szCs w:val="32"/>
    </w:rPr>
  </w:style>
  <w:style w:type="paragraph" w:customStyle="1" w:styleId="headingsubHeader">
    <w:name w:val="heading subHeader"/>
    <w:rsid w:val="00C37DF3"/>
    <w:pPr>
      <w:spacing w:after="200" w:line="276" w:lineRule="auto"/>
    </w:pPr>
    <w:rPr>
      <w:rFonts w:ascii="Arial Unicode MS" w:eastAsia="Arial Unicode MS" w:hAnsi="Arial Unicode MS" w:cs="Arial Unicode MS"/>
      <w:b/>
      <w:sz w:val="24"/>
      <w:szCs w:val="24"/>
    </w:rPr>
  </w:style>
  <w:style w:type="character" w:customStyle="1" w:styleId="bold">
    <w:name w:val="bold"/>
    <w:rsid w:val="00C37DF3"/>
    <w:rPr>
      <w:rFonts w:ascii="Arial Unicode MS" w:eastAsia="Arial Unicode MS" w:hAnsi="Arial Unicode MS" w:cs="Arial Unicode MS"/>
      <w:b/>
      <w:sz w:val="20"/>
      <w:szCs w:val="20"/>
    </w:rPr>
  </w:style>
  <w:style w:type="character" w:customStyle="1" w:styleId="grey">
    <w:name w:val="grey"/>
    <w:rsid w:val="00C37DF3"/>
    <w:rPr>
      <w:rFonts w:ascii="Arial Unicode MS" w:eastAsia="Arial Unicode MS" w:hAnsi="Arial Unicode MS" w:cs="Arial Unicode MS"/>
      <w:color w:val="999999"/>
      <w:sz w:val="20"/>
      <w:szCs w:val="20"/>
    </w:rPr>
  </w:style>
  <w:style w:type="table" w:customStyle="1" w:styleId="table">
    <w:name w:val="table"/>
    <w:uiPriority w:val="99"/>
    <w:rsid w:val="00C37DF3"/>
    <w:pPr>
      <w:spacing w:after="200" w:line="276" w:lineRule="auto"/>
    </w:pPr>
    <w:rPr>
      <w:rFonts w:ascii="Arial" w:eastAsia="Arial" w:hAnsi="Arial" w:cs="Arial"/>
    </w:rPr>
    <w:tblPr>
      <w:tblBorders>
        <w:top w:val="single" w:sz="20" w:space="0" w:color="DEDEDE"/>
        <w:left w:val="single" w:sz="20" w:space="0" w:color="DEDEDE"/>
        <w:bottom w:val="single" w:sz="20" w:space="0" w:color="DEDEDE"/>
        <w:right w:val="single" w:sz="20" w:space="0" w:color="DEDEDE"/>
        <w:insideH w:val="single" w:sz="20" w:space="0" w:color="DEDEDE"/>
        <w:insideV w:val="single" w:sz="20" w:space="0" w:color="DEDEDE"/>
      </w:tblBorders>
      <w:tblCellMar>
        <w:top w:w="80" w:type="dxa"/>
        <w:left w:w="80" w:type="dxa"/>
        <w:bottom w:w="80" w:type="dxa"/>
        <w:right w:w="80" w:type="dxa"/>
      </w:tblCellMar>
    </w:tblPr>
  </w:style>
  <w:style w:type="character" w:customStyle="1" w:styleId="Heading1Char">
    <w:name w:val="Heading 1 Char"/>
    <w:link w:val="Heading1"/>
    <w:uiPriority w:val="1"/>
    <w:rsid w:val="00C37DF3"/>
    <w:rPr>
      <w:b/>
      <w:sz w:val="24"/>
    </w:rPr>
  </w:style>
  <w:style w:type="paragraph" w:styleId="TOCHeading">
    <w:name w:val="TOC Heading"/>
    <w:basedOn w:val="Heading1"/>
    <w:next w:val="Normal"/>
    <w:uiPriority w:val="39"/>
    <w:unhideWhenUsed/>
    <w:qFormat/>
    <w:rsid w:val="00C37DF3"/>
    <w:pPr>
      <w:keepLines/>
      <w:spacing w:before="480" w:line="276" w:lineRule="auto"/>
      <w:jc w:val="left"/>
      <w:outlineLvl w:val="9"/>
    </w:pPr>
    <w:rPr>
      <w:rFonts w:ascii="Franklin Gothic Medium" w:hAnsi="Franklin Gothic Medium"/>
      <w:bCs/>
      <w:color w:val="5A5C5E"/>
      <w:sz w:val="28"/>
      <w:szCs w:val="28"/>
      <w:lang w:val="en-US" w:eastAsia="ja-JP"/>
    </w:rPr>
  </w:style>
  <w:style w:type="paragraph" w:styleId="TOC2">
    <w:name w:val="toc 2"/>
    <w:basedOn w:val="Normal"/>
    <w:next w:val="Normal"/>
    <w:autoRedefine/>
    <w:uiPriority w:val="39"/>
    <w:semiHidden/>
    <w:unhideWhenUsed/>
    <w:qFormat/>
    <w:rsid w:val="00C37DF3"/>
    <w:pPr>
      <w:spacing w:after="100" w:line="276" w:lineRule="auto"/>
      <w:ind w:left="220"/>
    </w:pPr>
    <w:rPr>
      <w:rFonts w:ascii="Franklin Gothic Book" w:hAnsi="Franklin Gothic Book"/>
      <w:sz w:val="22"/>
      <w:szCs w:val="22"/>
      <w:lang w:val="en-US" w:eastAsia="ja-JP"/>
    </w:rPr>
  </w:style>
  <w:style w:type="paragraph" w:styleId="TOC1">
    <w:name w:val="toc 1"/>
    <w:basedOn w:val="Normal"/>
    <w:next w:val="Normal"/>
    <w:autoRedefine/>
    <w:uiPriority w:val="39"/>
    <w:semiHidden/>
    <w:unhideWhenUsed/>
    <w:qFormat/>
    <w:rsid w:val="00C37DF3"/>
    <w:pPr>
      <w:spacing w:after="100" w:line="276" w:lineRule="auto"/>
    </w:pPr>
    <w:rPr>
      <w:rFonts w:ascii="Franklin Gothic Book" w:hAnsi="Franklin Gothic Book"/>
      <w:sz w:val="22"/>
      <w:szCs w:val="22"/>
      <w:lang w:val="en-US" w:eastAsia="ja-JP"/>
    </w:rPr>
  </w:style>
  <w:style w:type="paragraph" w:styleId="TOC3">
    <w:name w:val="toc 3"/>
    <w:basedOn w:val="Normal"/>
    <w:next w:val="Normal"/>
    <w:autoRedefine/>
    <w:uiPriority w:val="39"/>
    <w:unhideWhenUsed/>
    <w:qFormat/>
    <w:rsid w:val="00C37DF3"/>
    <w:pPr>
      <w:spacing w:after="100" w:line="276" w:lineRule="auto"/>
      <w:ind w:left="446"/>
    </w:pPr>
    <w:rPr>
      <w:rFonts w:ascii="Calibri" w:hAnsi="Calibri"/>
      <w:sz w:val="20"/>
      <w:lang w:val="en-US" w:eastAsia="ja-JP"/>
    </w:rPr>
  </w:style>
  <w:style w:type="table" w:customStyle="1" w:styleId="TableGrid1">
    <w:name w:val="Table Grid1"/>
    <w:basedOn w:val="TableNormal"/>
    <w:next w:val="TableGrid"/>
    <w:uiPriority w:val="59"/>
    <w:rsid w:val="00FD3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5F0414"/>
    <w:pPr>
      <w:autoSpaceDE w:val="0"/>
      <w:autoSpaceDN w:val="0"/>
    </w:pPr>
    <w:rPr>
      <w:rFonts w:ascii="Arial" w:eastAsiaTheme="minorHAnsi" w:hAnsi="Arial" w:cs="Arial"/>
      <w:color w:val="000000"/>
      <w:szCs w:val="24"/>
      <w:lang w:eastAsia="en-US"/>
    </w:rPr>
  </w:style>
  <w:style w:type="numbering" w:customStyle="1" w:styleId="NoList1">
    <w:name w:val="No List1"/>
    <w:next w:val="NoList"/>
    <w:uiPriority w:val="99"/>
    <w:semiHidden/>
    <w:unhideWhenUsed/>
    <w:rsid w:val="00080FD0"/>
  </w:style>
  <w:style w:type="character" w:customStyle="1" w:styleId="BodyTextChar">
    <w:name w:val="Body Text Char"/>
    <w:basedOn w:val="DefaultParagraphFont"/>
    <w:link w:val="BodyText"/>
    <w:uiPriority w:val="99"/>
    <w:rsid w:val="00080FD0"/>
    <w:rPr>
      <w:b/>
      <w:sz w:val="24"/>
    </w:rPr>
  </w:style>
  <w:style w:type="paragraph" w:customStyle="1" w:styleId="TableParagraph">
    <w:name w:val="Table Paragraph"/>
    <w:basedOn w:val="Normal"/>
    <w:uiPriority w:val="1"/>
    <w:qFormat/>
    <w:rsid w:val="00080FD0"/>
    <w:pPr>
      <w:widowControl w:val="0"/>
      <w:autoSpaceDE w:val="0"/>
      <w:autoSpaceDN w:val="0"/>
      <w:adjustRightInd w:val="0"/>
    </w:pPr>
    <w:rPr>
      <w:rFonts w:eastAsiaTheme="minorEastAsia"/>
      <w:szCs w:val="24"/>
    </w:rPr>
  </w:style>
  <w:style w:type="numbering" w:customStyle="1" w:styleId="NoList2">
    <w:name w:val="No List2"/>
    <w:next w:val="NoList"/>
    <w:uiPriority w:val="99"/>
    <w:semiHidden/>
    <w:unhideWhenUsed/>
    <w:rsid w:val="00080FD0"/>
  </w:style>
  <w:style w:type="numbering" w:customStyle="1" w:styleId="NoList3">
    <w:name w:val="No List3"/>
    <w:next w:val="NoList"/>
    <w:uiPriority w:val="99"/>
    <w:semiHidden/>
    <w:unhideWhenUsed/>
    <w:rsid w:val="004C4A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3D9"/>
    <w:rPr>
      <w:sz w:val="24"/>
    </w:rPr>
  </w:style>
  <w:style w:type="paragraph" w:styleId="Heading1">
    <w:name w:val="heading 1"/>
    <w:basedOn w:val="Normal"/>
    <w:next w:val="Normal"/>
    <w:link w:val="Heading1Char"/>
    <w:uiPriority w:val="1"/>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center"/>
    </w:pPr>
    <w:rPr>
      <w:b/>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rsid w:val="0039450A"/>
    <w:pPr>
      <w:tabs>
        <w:tab w:val="center" w:pos="4153"/>
        <w:tab w:val="right" w:pos="8306"/>
      </w:tabs>
    </w:pPr>
  </w:style>
  <w:style w:type="character" w:styleId="Hyperlink">
    <w:name w:val="Hyperlink"/>
    <w:unhideWhenUsed/>
    <w:rsid w:val="00356B53"/>
    <w:rPr>
      <w:color w:val="0000FF"/>
      <w:u w:val="single"/>
    </w:rPr>
  </w:style>
  <w:style w:type="character" w:styleId="FollowedHyperlink">
    <w:name w:val="FollowedHyperlink"/>
    <w:uiPriority w:val="99"/>
    <w:semiHidden/>
    <w:unhideWhenUsed/>
    <w:rsid w:val="00B26FE3"/>
    <w:rPr>
      <w:color w:val="800080"/>
      <w:u w:val="single"/>
    </w:rPr>
  </w:style>
  <w:style w:type="paragraph" w:styleId="ListParagraph">
    <w:name w:val="List Paragraph"/>
    <w:basedOn w:val="Normal"/>
    <w:uiPriority w:val="34"/>
    <w:qFormat/>
    <w:rsid w:val="00B26FE3"/>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1671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37DF3"/>
    <w:rPr>
      <w:sz w:val="24"/>
    </w:rPr>
  </w:style>
  <w:style w:type="character" w:customStyle="1" w:styleId="HeaderChar">
    <w:name w:val="Header Char"/>
    <w:link w:val="Header"/>
    <w:uiPriority w:val="99"/>
    <w:rsid w:val="00C37DF3"/>
    <w:rPr>
      <w:sz w:val="24"/>
    </w:rPr>
  </w:style>
  <w:style w:type="paragraph" w:styleId="NormalWeb">
    <w:name w:val="Normal (Web)"/>
    <w:basedOn w:val="Normal"/>
    <w:uiPriority w:val="99"/>
    <w:semiHidden/>
    <w:unhideWhenUsed/>
    <w:rsid w:val="00C37DF3"/>
    <w:pPr>
      <w:spacing w:before="100" w:beforeAutospacing="1" w:after="100" w:afterAutospacing="1"/>
    </w:pPr>
    <w:rPr>
      <w:szCs w:val="24"/>
    </w:rPr>
  </w:style>
  <w:style w:type="character" w:styleId="Strong">
    <w:name w:val="Strong"/>
    <w:uiPriority w:val="22"/>
    <w:qFormat/>
    <w:rsid w:val="00C37DF3"/>
    <w:rPr>
      <w:b/>
      <w:bCs/>
    </w:rPr>
  </w:style>
  <w:style w:type="paragraph" w:styleId="BalloonText">
    <w:name w:val="Balloon Text"/>
    <w:basedOn w:val="Normal"/>
    <w:link w:val="BalloonTextChar"/>
    <w:uiPriority w:val="99"/>
    <w:semiHidden/>
    <w:unhideWhenUsed/>
    <w:rsid w:val="00C37DF3"/>
    <w:rPr>
      <w:rFonts w:ascii="Tahoma" w:hAnsi="Tahoma" w:cs="Tahoma"/>
      <w:sz w:val="16"/>
      <w:szCs w:val="16"/>
    </w:rPr>
  </w:style>
  <w:style w:type="character" w:customStyle="1" w:styleId="BalloonTextChar">
    <w:name w:val="Balloon Text Char"/>
    <w:basedOn w:val="DefaultParagraphFont"/>
    <w:link w:val="BalloonText"/>
    <w:uiPriority w:val="99"/>
    <w:semiHidden/>
    <w:rsid w:val="00C37DF3"/>
    <w:rPr>
      <w:rFonts w:ascii="Tahoma" w:hAnsi="Tahoma" w:cs="Tahoma"/>
      <w:sz w:val="16"/>
      <w:szCs w:val="16"/>
    </w:rPr>
  </w:style>
  <w:style w:type="character" w:customStyle="1" w:styleId="text">
    <w:name w:val="text"/>
    <w:rsid w:val="00C37DF3"/>
    <w:rPr>
      <w:rFonts w:ascii="Arial Unicode MS" w:eastAsia="Arial Unicode MS" w:hAnsi="Arial Unicode MS" w:cs="Arial Unicode MS"/>
      <w:sz w:val="20"/>
      <w:szCs w:val="20"/>
    </w:rPr>
  </w:style>
  <w:style w:type="paragraph" w:customStyle="1" w:styleId="headingheader">
    <w:name w:val="heading header"/>
    <w:rsid w:val="00C37DF3"/>
    <w:pPr>
      <w:spacing w:after="200" w:line="276" w:lineRule="auto"/>
    </w:pPr>
    <w:rPr>
      <w:rFonts w:ascii="Arial Unicode MS" w:eastAsia="Arial Unicode MS" w:hAnsi="Arial Unicode MS" w:cs="Arial Unicode MS"/>
      <w:b/>
      <w:sz w:val="44"/>
      <w:szCs w:val="44"/>
    </w:rPr>
  </w:style>
  <w:style w:type="paragraph" w:customStyle="1" w:styleId="headingquestionTitle">
    <w:name w:val="heading questionTitle"/>
    <w:rsid w:val="00C37DF3"/>
    <w:pPr>
      <w:spacing w:after="200" w:line="276" w:lineRule="auto"/>
    </w:pPr>
    <w:rPr>
      <w:rFonts w:ascii="Arial Unicode MS" w:eastAsia="Arial Unicode MS" w:hAnsi="Arial Unicode MS" w:cs="Arial Unicode MS"/>
      <w:b/>
      <w:sz w:val="32"/>
      <w:szCs w:val="32"/>
    </w:rPr>
  </w:style>
  <w:style w:type="paragraph" w:customStyle="1" w:styleId="headingsubHeader">
    <w:name w:val="heading subHeader"/>
    <w:rsid w:val="00C37DF3"/>
    <w:pPr>
      <w:spacing w:after="200" w:line="276" w:lineRule="auto"/>
    </w:pPr>
    <w:rPr>
      <w:rFonts w:ascii="Arial Unicode MS" w:eastAsia="Arial Unicode MS" w:hAnsi="Arial Unicode MS" w:cs="Arial Unicode MS"/>
      <w:b/>
      <w:sz w:val="24"/>
      <w:szCs w:val="24"/>
    </w:rPr>
  </w:style>
  <w:style w:type="character" w:customStyle="1" w:styleId="bold">
    <w:name w:val="bold"/>
    <w:rsid w:val="00C37DF3"/>
    <w:rPr>
      <w:rFonts w:ascii="Arial Unicode MS" w:eastAsia="Arial Unicode MS" w:hAnsi="Arial Unicode MS" w:cs="Arial Unicode MS"/>
      <w:b/>
      <w:sz w:val="20"/>
      <w:szCs w:val="20"/>
    </w:rPr>
  </w:style>
  <w:style w:type="character" w:customStyle="1" w:styleId="grey">
    <w:name w:val="grey"/>
    <w:rsid w:val="00C37DF3"/>
    <w:rPr>
      <w:rFonts w:ascii="Arial Unicode MS" w:eastAsia="Arial Unicode MS" w:hAnsi="Arial Unicode MS" w:cs="Arial Unicode MS"/>
      <w:color w:val="999999"/>
      <w:sz w:val="20"/>
      <w:szCs w:val="20"/>
    </w:rPr>
  </w:style>
  <w:style w:type="table" w:customStyle="1" w:styleId="table">
    <w:name w:val="table"/>
    <w:uiPriority w:val="99"/>
    <w:rsid w:val="00C37DF3"/>
    <w:pPr>
      <w:spacing w:after="200" w:line="276" w:lineRule="auto"/>
    </w:pPr>
    <w:rPr>
      <w:rFonts w:ascii="Arial" w:eastAsia="Arial" w:hAnsi="Arial" w:cs="Arial"/>
    </w:rPr>
    <w:tblPr>
      <w:tblBorders>
        <w:top w:val="single" w:sz="20" w:space="0" w:color="DEDEDE"/>
        <w:left w:val="single" w:sz="20" w:space="0" w:color="DEDEDE"/>
        <w:bottom w:val="single" w:sz="20" w:space="0" w:color="DEDEDE"/>
        <w:right w:val="single" w:sz="20" w:space="0" w:color="DEDEDE"/>
        <w:insideH w:val="single" w:sz="20" w:space="0" w:color="DEDEDE"/>
        <w:insideV w:val="single" w:sz="20" w:space="0" w:color="DEDEDE"/>
      </w:tblBorders>
      <w:tblCellMar>
        <w:top w:w="80" w:type="dxa"/>
        <w:left w:w="80" w:type="dxa"/>
        <w:bottom w:w="80" w:type="dxa"/>
        <w:right w:w="80" w:type="dxa"/>
      </w:tblCellMar>
    </w:tblPr>
  </w:style>
  <w:style w:type="character" w:customStyle="1" w:styleId="Heading1Char">
    <w:name w:val="Heading 1 Char"/>
    <w:link w:val="Heading1"/>
    <w:uiPriority w:val="1"/>
    <w:rsid w:val="00C37DF3"/>
    <w:rPr>
      <w:b/>
      <w:sz w:val="24"/>
    </w:rPr>
  </w:style>
  <w:style w:type="paragraph" w:styleId="TOCHeading">
    <w:name w:val="TOC Heading"/>
    <w:basedOn w:val="Heading1"/>
    <w:next w:val="Normal"/>
    <w:uiPriority w:val="39"/>
    <w:unhideWhenUsed/>
    <w:qFormat/>
    <w:rsid w:val="00C37DF3"/>
    <w:pPr>
      <w:keepLines/>
      <w:spacing w:before="480" w:line="276" w:lineRule="auto"/>
      <w:jc w:val="left"/>
      <w:outlineLvl w:val="9"/>
    </w:pPr>
    <w:rPr>
      <w:rFonts w:ascii="Franklin Gothic Medium" w:hAnsi="Franklin Gothic Medium"/>
      <w:bCs/>
      <w:color w:val="5A5C5E"/>
      <w:sz w:val="28"/>
      <w:szCs w:val="28"/>
      <w:lang w:val="en-US" w:eastAsia="ja-JP"/>
    </w:rPr>
  </w:style>
  <w:style w:type="paragraph" w:styleId="TOC2">
    <w:name w:val="toc 2"/>
    <w:basedOn w:val="Normal"/>
    <w:next w:val="Normal"/>
    <w:autoRedefine/>
    <w:uiPriority w:val="39"/>
    <w:semiHidden/>
    <w:unhideWhenUsed/>
    <w:qFormat/>
    <w:rsid w:val="00C37DF3"/>
    <w:pPr>
      <w:spacing w:after="100" w:line="276" w:lineRule="auto"/>
      <w:ind w:left="220"/>
    </w:pPr>
    <w:rPr>
      <w:rFonts w:ascii="Franklin Gothic Book" w:hAnsi="Franklin Gothic Book"/>
      <w:sz w:val="22"/>
      <w:szCs w:val="22"/>
      <w:lang w:val="en-US" w:eastAsia="ja-JP"/>
    </w:rPr>
  </w:style>
  <w:style w:type="paragraph" w:styleId="TOC1">
    <w:name w:val="toc 1"/>
    <w:basedOn w:val="Normal"/>
    <w:next w:val="Normal"/>
    <w:autoRedefine/>
    <w:uiPriority w:val="39"/>
    <w:semiHidden/>
    <w:unhideWhenUsed/>
    <w:qFormat/>
    <w:rsid w:val="00C37DF3"/>
    <w:pPr>
      <w:spacing w:after="100" w:line="276" w:lineRule="auto"/>
    </w:pPr>
    <w:rPr>
      <w:rFonts w:ascii="Franklin Gothic Book" w:hAnsi="Franklin Gothic Book"/>
      <w:sz w:val="22"/>
      <w:szCs w:val="22"/>
      <w:lang w:val="en-US" w:eastAsia="ja-JP"/>
    </w:rPr>
  </w:style>
  <w:style w:type="paragraph" w:styleId="TOC3">
    <w:name w:val="toc 3"/>
    <w:basedOn w:val="Normal"/>
    <w:next w:val="Normal"/>
    <w:autoRedefine/>
    <w:uiPriority w:val="39"/>
    <w:unhideWhenUsed/>
    <w:qFormat/>
    <w:rsid w:val="00C37DF3"/>
    <w:pPr>
      <w:spacing w:after="100" w:line="276" w:lineRule="auto"/>
      <w:ind w:left="446"/>
    </w:pPr>
    <w:rPr>
      <w:rFonts w:ascii="Calibri" w:hAnsi="Calibri"/>
      <w:sz w:val="20"/>
      <w:lang w:val="en-US" w:eastAsia="ja-JP"/>
    </w:rPr>
  </w:style>
  <w:style w:type="table" w:customStyle="1" w:styleId="TableGrid1">
    <w:name w:val="Table Grid1"/>
    <w:basedOn w:val="TableNormal"/>
    <w:next w:val="TableGrid"/>
    <w:uiPriority w:val="59"/>
    <w:rsid w:val="00FD3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5F0414"/>
    <w:pPr>
      <w:autoSpaceDE w:val="0"/>
      <w:autoSpaceDN w:val="0"/>
    </w:pPr>
    <w:rPr>
      <w:rFonts w:ascii="Arial" w:eastAsiaTheme="minorHAnsi" w:hAnsi="Arial" w:cs="Arial"/>
      <w:color w:val="000000"/>
      <w:szCs w:val="24"/>
      <w:lang w:eastAsia="en-US"/>
    </w:rPr>
  </w:style>
  <w:style w:type="numbering" w:customStyle="1" w:styleId="NoList1">
    <w:name w:val="No List1"/>
    <w:next w:val="NoList"/>
    <w:uiPriority w:val="99"/>
    <w:semiHidden/>
    <w:unhideWhenUsed/>
    <w:rsid w:val="00080FD0"/>
  </w:style>
  <w:style w:type="character" w:customStyle="1" w:styleId="BodyTextChar">
    <w:name w:val="Body Text Char"/>
    <w:basedOn w:val="DefaultParagraphFont"/>
    <w:link w:val="BodyText"/>
    <w:uiPriority w:val="99"/>
    <w:rsid w:val="00080FD0"/>
    <w:rPr>
      <w:b/>
      <w:sz w:val="24"/>
    </w:rPr>
  </w:style>
  <w:style w:type="paragraph" w:customStyle="1" w:styleId="TableParagraph">
    <w:name w:val="Table Paragraph"/>
    <w:basedOn w:val="Normal"/>
    <w:uiPriority w:val="1"/>
    <w:qFormat/>
    <w:rsid w:val="00080FD0"/>
    <w:pPr>
      <w:widowControl w:val="0"/>
      <w:autoSpaceDE w:val="0"/>
      <w:autoSpaceDN w:val="0"/>
      <w:adjustRightInd w:val="0"/>
    </w:pPr>
    <w:rPr>
      <w:rFonts w:eastAsiaTheme="minorEastAsia"/>
      <w:szCs w:val="24"/>
    </w:rPr>
  </w:style>
  <w:style w:type="numbering" w:customStyle="1" w:styleId="NoList2">
    <w:name w:val="No List2"/>
    <w:next w:val="NoList"/>
    <w:uiPriority w:val="99"/>
    <w:semiHidden/>
    <w:unhideWhenUsed/>
    <w:rsid w:val="00080FD0"/>
  </w:style>
  <w:style w:type="numbering" w:customStyle="1" w:styleId="NoList3">
    <w:name w:val="No List3"/>
    <w:next w:val="NoList"/>
    <w:uiPriority w:val="99"/>
    <w:semiHidden/>
    <w:unhideWhenUsed/>
    <w:rsid w:val="004C4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55530">
      <w:bodyDiv w:val="1"/>
      <w:marLeft w:val="0"/>
      <w:marRight w:val="0"/>
      <w:marTop w:val="0"/>
      <w:marBottom w:val="0"/>
      <w:divBdr>
        <w:top w:val="none" w:sz="0" w:space="0" w:color="auto"/>
        <w:left w:val="none" w:sz="0" w:space="0" w:color="auto"/>
        <w:bottom w:val="none" w:sz="0" w:space="0" w:color="auto"/>
        <w:right w:val="none" w:sz="0" w:space="0" w:color="auto"/>
      </w:divBdr>
    </w:div>
    <w:div w:id="50354238">
      <w:bodyDiv w:val="1"/>
      <w:marLeft w:val="0"/>
      <w:marRight w:val="0"/>
      <w:marTop w:val="0"/>
      <w:marBottom w:val="0"/>
      <w:divBdr>
        <w:top w:val="none" w:sz="0" w:space="0" w:color="auto"/>
        <w:left w:val="none" w:sz="0" w:space="0" w:color="auto"/>
        <w:bottom w:val="none" w:sz="0" w:space="0" w:color="auto"/>
        <w:right w:val="none" w:sz="0" w:space="0" w:color="auto"/>
      </w:divBdr>
    </w:div>
    <w:div w:id="119229115">
      <w:bodyDiv w:val="1"/>
      <w:marLeft w:val="0"/>
      <w:marRight w:val="0"/>
      <w:marTop w:val="0"/>
      <w:marBottom w:val="0"/>
      <w:divBdr>
        <w:top w:val="none" w:sz="0" w:space="0" w:color="auto"/>
        <w:left w:val="none" w:sz="0" w:space="0" w:color="auto"/>
        <w:bottom w:val="none" w:sz="0" w:space="0" w:color="auto"/>
        <w:right w:val="none" w:sz="0" w:space="0" w:color="auto"/>
      </w:divBdr>
    </w:div>
    <w:div w:id="120538846">
      <w:bodyDiv w:val="1"/>
      <w:marLeft w:val="0"/>
      <w:marRight w:val="0"/>
      <w:marTop w:val="0"/>
      <w:marBottom w:val="0"/>
      <w:divBdr>
        <w:top w:val="none" w:sz="0" w:space="0" w:color="auto"/>
        <w:left w:val="none" w:sz="0" w:space="0" w:color="auto"/>
        <w:bottom w:val="none" w:sz="0" w:space="0" w:color="auto"/>
        <w:right w:val="none" w:sz="0" w:space="0" w:color="auto"/>
      </w:divBdr>
    </w:div>
    <w:div w:id="153498418">
      <w:bodyDiv w:val="1"/>
      <w:marLeft w:val="0"/>
      <w:marRight w:val="0"/>
      <w:marTop w:val="0"/>
      <w:marBottom w:val="0"/>
      <w:divBdr>
        <w:top w:val="none" w:sz="0" w:space="0" w:color="auto"/>
        <w:left w:val="none" w:sz="0" w:space="0" w:color="auto"/>
        <w:bottom w:val="none" w:sz="0" w:space="0" w:color="auto"/>
        <w:right w:val="none" w:sz="0" w:space="0" w:color="auto"/>
      </w:divBdr>
    </w:div>
    <w:div w:id="160120521">
      <w:bodyDiv w:val="1"/>
      <w:marLeft w:val="0"/>
      <w:marRight w:val="0"/>
      <w:marTop w:val="0"/>
      <w:marBottom w:val="0"/>
      <w:divBdr>
        <w:top w:val="none" w:sz="0" w:space="0" w:color="auto"/>
        <w:left w:val="none" w:sz="0" w:space="0" w:color="auto"/>
        <w:bottom w:val="none" w:sz="0" w:space="0" w:color="auto"/>
        <w:right w:val="none" w:sz="0" w:space="0" w:color="auto"/>
      </w:divBdr>
    </w:div>
    <w:div w:id="174854849">
      <w:bodyDiv w:val="1"/>
      <w:marLeft w:val="0"/>
      <w:marRight w:val="0"/>
      <w:marTop w:val="0"/>
      <w:marBottom w:val="0"/>
      <w:divBdr>
        <w:top w:val="none" w:sz="0" w:space="0" w:color="auto"/>
        <w:left w:val="none" w:sz="0" w:space="0" w:color="auto"/>
        <w:bottom w:val="none" w:sz="0" w:space="0" w:color="auto"/>
        <w:right w:val="none" w:sz="0" w:space="0" w:color="auto"/>
      </w:divBdr>
    </w:div>
    <w:div w:id="189421336">
      <w:bodyDiv w:val="1"/>
      <w:marLeft w:val="0"/>
      <w:marRight w:val="0"/>
      <w:marTop w:val="0"/>
      <w:marBottom w:val="0"/>
      <w:divBdr>
        <w:top w:val="none" w:sz="0" w:space="0" w:color="auto"/>
        <w:left w:val="none" w:sz="0" w:space="0" w:color="auto"/>
        <w:bottom w:val="none" w:sz="0" w:space="0" w:color="auto"/>
        <w:right w:val="none" w:sz="0" w:space="0" w:color="auto"/>
      </w:divBdr>
    </w:div>
    <w:div w:id="210381054">
      <w:bodyDiv w:val="1"/>
      <w:marLeft w:val="0"/>
      <w:marRight w:val="0"/>
      <w:marTop w:val="0"/>
      <w:marBottom w:val="0"/>
      <w:divBdr>
        <w:top w:val="none" w:sz="0" w:space="0" w:color="auto"/>
        <w:left w:val="none" w:sz="0" w:space="0" w:color="auto"/>
        <w:bottom w:val="none" w:sz="0" w:space="0" w:color="auto"/>
        <w:right w:val="none" w:sz="0" w:space="0" w:color="auto"/>
      </w:divBdr>
    </w:div>
    <w:div w:id="279723693">
      <w:bodyDiv w:val="1"/>
      <w:marLeft w:val="0"/>
      <w:marRight w:val="0"/>
      <w:marTop w:val="0"/>
      <w:marBottom w:val="0"/>
      <w:divBdr>
        <w:top w:val="none" w:sz="0" w:space="0" w:color="auto"/>
        <w:left w:val="none" w:sz="0" w:space="0" w:color="auto"/>
        <w:bottom w:val="none" w:sz="0" w:space="0" w:color="auto"/>
        <w:right w:val="none" w:sz="0" w:space="0" w:color="auto"/>
      </w:divBdr>
    </w:div>
    <w:div w:id="280381472">
      <w:bodyDiv w:val="1"/>
      <w:marLeft w:val="0"/>
      <w:marRight w:val="0"/>
      <w:marTop w:val="0"/>
      <w:marBottom w:val="0"/>
      <w:divBdr>
        <w:top w:val="none" w:sz="0" w:space="0" w:color="auto"/>
        <w:left w:val="none" w:sz="0" w:space="0" w:color="auto"/>
        <w:bottom w:val="none" w:sz="0" w:space="0" w:color="auto"/>
        <w:right w:val="none" w:sz="0" w:space="0" w:color="auto"/>
      </w:divBdr>
    </w:div>
    <w:div w:id="316501489">
      <w:bodyDiv w:val="1"/>
      <w:marLeft w:val="0"/>
      <w:marRight w:val="0"/>
      <w:marTop w:val="0"/>
      <w:marBottom w:val="0"/>
      <w:divBdr>
        <w:top w:val="none" w:sz="0" w:space="0" w:color="auto"/>
        <w:left w:val="none" w:sz="0" w:space="0" w:color="auto"/>
        <w:bottom w:val="none" w:sz="0" w:space="0" w:color="auto"/>
        <w:right w:val="none" w:sz="0" w:space="0" w:color="auto"/>
      </w:divBdr>
    </w:div>
    <w:div w:id="327221703">
      <w:bodyDiv w:val="1"/>
      <w:marLeft w:val="0"/>
      <w:marRight w:val="0"/>
      <w:marTop w:val="0"/>
      <w:marBottom w:val="0"/>
      <w:divBdr>
        <w:top w:val="none" w:sz="0" w:space="0" w:color="auto"/>
        <w:left w:val="none" w:sz="0" w:space="0" w:color="auto"/>
        <w:bottom w:val="none" w:sz="0" w:space="0" w:color="auto"/>
        <w:right w:val="none" w:sz="0" w:space="0" w:color="auto"/>
      </w:divBdr>
    </w:div>
    <w:div w:id="336660138">
      <w:bodyDiv w:val="1"/>
      <w:marLeft w:val="0"/>
      <w:marRight w:val="0"/>
      <w:marTop w:val="0"/>
      <w:marBottom w:val="0"/>
      <w:divBdr>
        <w:top w:val="none" w:sz="0" w:space="0" w:color="auto"/>
        <w:left w:val="none" w:sz="0" w:space="0" w:color="auto"/>
        <w:bottom w:val="none" w:sz="0" w:space="0" w:color="auto"/>
        <w:right w:val="none" w:sz="0" w:space="0" w:color="auto"/>
      </w:divBdr>
    </w:div>
    <w:div w:id="342174342">
      <w:bodyDiv w:val="1"/>
      <w:marLeft w:val="0"/>
      <w:marRight w:val="0"/>
      <w:marTop w:val="0"/>
      <w:marBottom w:val="0"/>
      <w:divBdr>
        <w:top w:val="none" w:sz="0" w:space="0" w:color="auto"/>
        <w:left w:val="none" w:sz="0" w:space="0" w:color="auto"/>
        <w:bottom w:val="none" w:sz="0" w:space="0" w:color="auto"/>
        <w:right w:val="none" w:sz="0" w:space="0" w:color="auto"/>
      </w:divBdr>
    </w:div>
    <w:div w:id="351420972">
      <w:bodyDiv w:val="1"/>
      <w:marLeft w:val="0"/>
      <w:marRight w:val="0"/>
      <w:marTop w:val="0"/>
      <w:marBottom w:val="0"/>
      <w:divBdr>
        <w:top w:val="none" w:sz="0" w:space="0" w:color="auto"/>
        <w:left w:val="none" w:sz="0" w:space="0" w:color="auto"/>
        <w:bottom w:val="none" w:sz="0" w:space="0" w:color="auto"/>
        <w:right w:val="none" w:sz="0" w:space="0" w:color="auto"/>
      </w:divBdr>
    </w:div>
    <w:div w:id="404568030">
      <w:bodyDiv w:val="1"/>
      <w:marLeft w:val="0"/>
      <w:marRight w:val="0"/>
      <w:marTop w:val="0"/>
      <w:marBottom w:val="0"/>
      <w:divBdr>
        <w:top w:val="none" w:sz="0" w:space="0" w:color="auto"/>
        <w:left w:val="none" w:sz="0" w:space="0" w:color="auto"/>
        <w:bottom w:val="none" w:sz="0" w:space="0" w:color="auto"/>
        <w:right w:val="none" w:sz="0" w:space="0" w:color="auto"/>
      </w:divBdr>
    </w:div>
    <w:div w:id="408844437">
      <w:bodyDiv w:val="1"/>
      <w:marLeft w:val="0"/>
      <w:marRight w:val="0"/>
      <w:marTop w:val="0"/>
      <w:marBottom w:val="0"/>
      <w:divBdr>
        <w:top w:val="none" w:sz="0" w:space="0" w:color="auto"/>
        <w:left w:val="none" w:sz="0" w:space="0" w:color="auto"/>
        <w:bottom w:val="none" w:sz="0" w:space="0" w:color="auto"/>
        <w:right w:val="none" w:sz="0" w:space="0" w:color="auto"/>
      </w:divBdr>
    </w:div>
    <w:div w:id="464354188">
      <w:bodyDiv w:val="1"/>
      <w:marLeft w:val="0"/>
      <w:marRight w:val="0"/>
      <w:marTop w:val="0"/>
      <w:marBottom w:val="0"/>
      <w:divBdr>
        <w:top w:val="none" w:sz="0" w:space="0" w:color="auto"/>
        <w:left w:val="none" w:sz="0" w:space="0" w:color="auto"/>
        <w:bottom w:val="none" w:sz="0" w:space="0" w:color="auto"/>
        <w:right w:val="none" w:sz="0" w:space="0" w:color="auto"/>
      </w:divBdr>
    </w:div>
    <w:div w:id="483277808">
      <w:bodyDiv w:val="1"/>
      <w:marLeft w:val="0"/>
      <w:marRight w:val="0"/>
      <w:marTop w:val="0"/>
      <w:marBottom w:val="0"/>
      <w:divBdr>
        <w:top w:val="none" w:sz="0" w:space="0" w:color="auto"/>
        <w:left w:val="none" w:sz="0" w:space="0" w:color="auto"/>
        <w:bottom w:val="none" w:sz="0" w:space="0" w:color="auto"/>
        <w:right w:val="none" w:sz="0" w:space="0" w:color="auto"/>
      </w:divBdr>
    </w:div>
    <w:div w:id="487868376">
      <w:bodyDiv w:val="1"/>
      <w:marLeft w:val="0"/>
      <w:marRight w:val="0"/>
      <w:marTop w:val="0"/>
      <w:marBottom w:val="0"/>
      <w:divBdr>
        <w:top w:val="none" w:sz="0" w:space="0" w:color="auto"/>
        <w:left w:val="none" w:sz="0" w:space="0" w:color="auto"/>
        <w:bottom w:val="none" w:sz="0" w:space="0" w:color="auto"/>
        <w:right w:val="none" w:sz="0" w:space="0" w:color="auto"/>
      </w:divBdr>
    </w:div>
    <w:div w:id="532620227">
      <w:bodyDiv w:val="1"/>
      <w:marLeft w:val="0"/>
      <w:marRight w:val="0"/>
      <w:marTop w:val="0"/>
      <w:marBottom w:val="0"/>
      <w:divBdr>
        <w:top w:val="none" w:sz="0" w:space="0" w:color="auto"/>
        <w:left w:val="none" w:sz="0" w:space="0" w:color="auto"/>
        <w:bottom w:val="none" w:sz="0" w:space="0" w:color="auto"/>
        <w:right w:val="none" w:sz="0" w:space="0" w:color="auto"/>
      </w:divBdr>
    </w:div>
    <w:div w:id="553202098">
      <w:bodyDiv w:val="1"/>
      <w:marLeft w:val="0"/>
      <w:marRight w:val="0"/>
      <w:marTop w:val="0"/>
      <w:marBottom w:val="0"/>
      <w:divBdr>
        <w:top w:val="none" w:sz="0" w:space="0" w:color="auto"/>
        <w:left w:val="none" w:sz="0" w:space="0" w:color="auto"/>
        <w:bottom w:val="none" w:sz="0" w:space="0" w:color="auto"/>
        <w:right w:val="none" w:sz="0" w:space="0" w:color="auto"/>
      </w:divBdr>
      <w:divsChild>
        <w:div w:id="693187965">
          <w:marLeft w:val="0"/>
          <w:marRight w:val="0"/>
          <w:marTop w:val="0"/>
          <w:marBottom w:val="0"/>
          <w:divBdr>
            <w:top w:val="none" w:sz="0" w:space="0" w:color="auto"/>
            <w:left w:val="none" w:sz="0" w:space="0" w:color="auto"/>
            <w:bottom w:val="none" w:sz="0" w:space="0" w:color="auto"/>
            <w:right w:val="none" w:sz="0" w:space="0" w:color="auto"/>
          </w:divBdr>
          <w:divsChild>
            <w:div w:id="2030258442">
              <w:marLeft w:val="0"/>
              <w:marRight w:val="0"/>
              <w:marTop w:val="0"/>
              <w:marBottom w:val="0"/>
              <w:divBdr>
                <w:top w:val="none" w:sz="0" w:space="0" w:color="auto"/>
                <w:left w:val="none" w:sz="0" w:space="0" w:color="auto"/>
                <w:bottom w:val="none" w:sz="0" w:space="0" w:color="auto"/>
                <w:right w:val="none" w:sz="0" w:space="0" w:color="auto"/>
              </w:divBdr>
              <w:divsChild>
                <w:div w:id="1771774828">
                  <w:marLeft w:val="0"/>
                  <w:marRight w:val="0"/>
                  <w:marTop w:val="3"/>
                  <w:marBottom w:val="0"/>
                  <w:divBdr>
                    <w:top w:val="none" w:sz="0" w:space="0" w:color="auto"/>
                    <w:left w:val="none" w:sz="0" w:space="0" w:color="auto"/>
                    <w:bottom w:val="none" w:sz="0" w:space="0" w:color="auto"/>
                    <w:right w:val="none" w:sz="0" w:space="0" w:color="auto"/>
                  </w:divBdr>
                  <w:divsChild>
                    <w:div w:id="1163819039">
                      <w:marLeft w:val="0"/>
                      <w:marRight w:val="0"/>
                      <w:marTop w:val="0"/>
                      <w:marBottom w:val="0"/>
                      <w:divBdr>
                        <w:top w:val="none" w:sz="0" w:space="0" w:color="auto"/>
                        <w:left w:val="none" w:sz="0" w:space="0" w:color="auto"/>
                        <w:bottom w:val="none" w:sz="0" w:space="0" w:color="auto"/>
                        <w:right w:val="none" w:sz="0" w:space="0" w:color="auto"/>
                      </w:divBdr>
                      <w:divsChild>
                        <w:div w:id="594942629">
                          <w:marLeft w:val="0"/>
                          <w:marRight w:val="0"/>
                          <w:marTop w:val="0"/>
                          <w:marBottom w:val="0"/>
                          <w:divBdr>
                            <w:top w:val="none" w:sz="0" w:space="0" w:color="auto"/>
                            <w:left w:val="none" w:sz="0" w:space="0" w:color="auto"/>
                            <w:bottom w:val="none" w:sz="0" w:space="0" w:color="auto"/>
                            <w:right w:val="none" w:sz="0" w:space="0" w:color="auto"/>
                          </w:divBdr>
                          <w:divsChild>
                            <w:div w:id="207107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087841">
      <w:bodyDiv w:val="1"/>
      <w:marLeft w:val="0"/>
      <w:marRight w:val="0"/>
      <w:marTop w:val="0"/>
      <w:marBottom w:val="0"/>
      <w:divBdr>
        <w:top w:val="none" w:sz="0" w:space="0" w:color="auto"/>
        <w:left w:val="none" w:sz="0" w:space="0" w:color="auto"/>
        <w:bottom w:val="none" w:sz="0" w:space="0" w:color="auto"/>
        <w:right w:val="none" w:sz="0" w:space="0" w:color="auto"/>
      </w:divBdr>
    </w:div>
    <w:div w:id="794952603">
      <w:bodyDiv w:val="1"/>
      <w:marLeft w:val="0"/>
      <w:marRight w:val="0"/>
      <w:marTop w:val="0"/>
      <w:marBottom w:val="0"/>
      <w:divBdr>
        <w:top w:val="none" w:sz="0" w:space="0" w:color="auto"/>
        <w:left w:val="none" w:sz="0" w:space="0" w:color="auto"/>
        <w:bottom w:val="none" w:sz="0" w:space="0" w:color="auto"/>
        <w:right w:val="none" w:sz="0" w:space="0" w:color="auto"/>
      </w:divBdr>
    </w:div>
    <w:div w:id="795877602">
      <w:bodyDiv w:val="1"/>
      <w:marLeft w:val="0"/>
      <w:marRight w:val="0"/>
      <w:marTop w:val="0"/>
      <w:marBottom w:val="0"/>
      <w:divBdr>
        <w:top w:val="none" w:sz="0" w:space="0" w:color="auto"/>
        <w:left w:val="none" w:sz="0" w:space="0" w:color="auto"/>
        <w:bottom w:val="none" w:sz="0" w:space="0" w:color="auto"/>
        <w:right w:val="none" w:sz="0" w:space="0" w:color="auto"/>
      </w:divBdr>
    </w:div>
    <w:div w:id="860244583">
      <w:bodyDiv w:val="1"/>
      <w:marLeft w:val="0"/>
      <w:marRight w:val="0"/>
      <w:marTop w:val="0"/>
      <w:marBottom w:val="0"/>
      <w:divBdr>
        <w:top w:val="none" w:sz="0" w:space="0" w:color="auto"/>
        <w:left w:val="none" w:sz="0" w:space="0" w:color="auto"/>
        <w:bottom w:val="none" w:sz="0" w:space="0" w:color="auto"/>
        <w:right w:val="none" w:sz="0" w:space="0" w:color="auto"/>
      </w:divBdr>
    </w:div>
    <w:div w:id="925189245">
      <w:bodyDiv w:val="1"/>
      <w:marLeft w:val="0"/>
      <w:marRight w:val="0"/>
      <w:marTop w:val="0"/>
      <w:marBottom w:val="0"/>
      <w:divBdr>
        <w:top w:val="none" w:sz="0" w:space="0" w:color="auto"/>
        <w:left w:val="none" w:sz="0" w:space="0" w:color="auto"/>
        <w:bottom w:val="none" w:sz="0" w:space="0" w:color="auto"/>
        <w:right w:val="none" w:sz="0" w:space="0" w:color="auto"/>
      </w:divBdr>
    </w:div>
    <w:div w:id="940181415">
      <w:bodyDiv w:val="1"/>
      <w:marLeft w:val="0"/>
      <w:marRight w:val="0"/>
      <w:marTop w:val="0"/>
      <w:marBottom w:val="0"/>
      <w:divBdr>
        <w:top w:val="none" w:sz="0" w:space="0" w:color="auto"/>
        <w:left w:val="none" w:sz="0" w:space="0" w:color="auto"/>
        <w:bottom w:val="none" w:sz="0" w:space="0" w:color="auto"/>
        <w:right w:val="none" w:sz="0" w:space="0" w:color="auto"/>
      </w:divBdr>
    </w:div>
    <w:div w:id="969481766">
      <w:bodyDiv w:val="1"/>
      <w:marLeft w:val="0"/>
      <w:marRight w:val="0"/>
      <w:marTop w:val="0"/>
      <w:marBottom w:val="0"/>
      <w:divBdr>
        <w:top w:val="none" w:sz="0" w:space="0" w:color="auto"/>
        <w:left w:val="none" w:sz="0" w:space="0" w:color="auto"/>
        <w:bottom w:val="none" w:sz="0" w:space="0" w:color="auto"/>
        <w:right w:val="none" w:sz="0" w:space="0" w:color="auto"/>
      </w:divBdr>
    </w:div>
    <w:div w:id="1014261944">
      <w:bodyDiv w:val="1"/>
      <w:marLeft w:val="0"/>
      <w:marRight w:val="0"/>
      <w:marTop w:val="0"/>
      <w:marBottom w:val="0"/>
      <w:divBdr>
        <w:top w:val="none" w:sz="0" w:space="0" w:color="auto"/>
        <w:left w:val="none" w:sz="0" w:space="0" w:color="auto"/>
        <w:bottom w:val="none" w:sz="0" w:space="0" w:color="auto"/>
        <w:right w:val="none" w:sz="0" w:space="0" w:color="auto"/>
      </w:divBdr>
    </w:div>
    <w:div w:id="1211498863">
      <w:bodyDiv w:val="1"/>
      <w:marLeft w:val="0"/>
      <w:marRight w:val="0"/>
      <w:marTop w:val="0"/>
      <w:marBottom w:val="0"/>
      <w:divBdr>
        <w:top w:val="none" w:sz="0" w:space="0" w:color="auto"/>
        <w:left w:val="none" w:sz="0" w:space="0" w:color="auto"/>
        <w:bottom w:val="none" w:sz="0" w:space="0" w:color="auto"/>
        <w:right w:val="none" w:sz="0" w:space="0" w:color="auto"/>
      </w:divBdr>
    </w:div>
    <w:div w:id="1237129411">
      <w:bodyDiv w:val="1"/>
      <w:marLeft w:val="0"/>
      <w:marRight w:val="0"/>
      <w:marTop w:val="0"/>
      <w:marBottom w:val="0"/>
      <w:divBdr>
        <w:top w:val="none" w:sz="0" w:space="0" w:color="auto"/>
        <w:left w:val="none" w:sz="0" w:space="0" w:color="auto"/>
        <w:bottom w:val="none" w:sz="0" w:space="0" w:color="auto"/>
        <w:right w:val="none" w:sz="0" w:space="0" w:color="auto"/>
      </w:divBdr>
    </w:div>
    <w:div w:id="1295679227">
      <w:bodyDiv w:val="1"/>
      <w:marLeft w:val="0"/>
      <w:marRight w:val="0"/>
      <w:marTop w:val="0"/>
      <w:marBottom w:val="0"/>
      <w:divBdr>
        <w:top w:val="none" w:sz="0" w:space="0" w:color="auto"/>
        <w:left w:val="none" w:sz="0" w:space="0" w:color="auto"/>
        <w:bottom w:val="none" w:sz="0" w:space="0" w:color="auto"/>
        <w:right w:val="none" w:sz="0" w:space="0" w:color="auto"/>
      </w:divBdr>
    </w:div>
    <w:div w:id="1316832892">
      <w:bodyDiv w:val="1"/>
      <w:marLeft w:val="0"/>
      <w:marRight w:val="0"/>
      <w:marTop w:val="0"/>
      <w:marBottom w:val="0"/>
      <w:divBdr>
        <w:top w:val="none" w:sz="0" w:space="0" w:color="auto"/>
        <w:left w:val="none" w:sz="0" w:space="0" w:color="auto"/>
        <w:bottom w:val="none" w:sz="0" w:space="0" w:color="auto"/>
        <w:right w:val="none" w:sz="0" w:space="0" w:color="auto"/>
      </w:divBdr>
    </w:div>
    <w:div w:id="1340235037">
      <w:bodyDiv w:val="1"/>
      <w:marLeft w:val="0"/>
      <w:marRight w:val="0"/>
      <w:marTop w:val="0"/>
      <w:marBottom w:val="0"/>
      <w:divBdr>
        <w:top w:val="none" w:sz="0" w:space="0" w:color="auto"/>
        <w:left w:val="none" w:sz="0" w:space="0" w:color="auto"/>
        <w:bottom w:val="none" w:sz="0" w:space="0" w:color="auto"/>
        <w:right w:val="none" w:sz="0" w:space="0" w:color="auto"/>
      </w:divBdr>
      <w:divsChild>
        <w:div w:id="858198076">
          <w:marLeft w:val="0"/>
          <w:marRight w:val="0"/>
          <w:marTop w:val="0"/>
          <w:marBottom w:val="0"/>
          <w:divBdr>
            <w:top w:val="none" w:sz="0" w:space="0" w:color="auto"/>
            <w:left w:val="none" w:sz="0" w:space="0" w:color="auto"/>
            <w:bottom w:val="none" w:sz="0" w:space="0" w:color="auto"/>
            <w:right w:val="none" w:sz="0" w:space="0" w:color="auto"/>
          </w:divBdr>
          <w:divsChild>
            <w:div w:id="915475742">
              <w:marLeft w:val="0"/>
              <w:marRight w:val="0"/>
              <w:marTop w:val="0"/>
              <w:marBottom w:val="0"/>
              <w:divBdr>
                <w:top w:val="none" w:sz="0" w:space="0" w:color="auto"/>
                <w:left w:val="none" w:sz="0" w:space="0" w:color="auto"/>
                <w:bottom w:val="none" w:sz="0" w:space="0" w:color="auto"/>
                <w:right w:val="none" w:sz="0" w:space="0" w:color="auto"/>
              </w:divBdr>
              <w:divsChild>
                <w:div w:id="1450003019">
                  <w:marLeft w:val="0"/>
                  <w:marRight w:val="0"/>
                  <w:marTop w:val="3"/>
                  <w:marBottom w:val="0"/>
                  <w:divBdr>
                    <w:top w:val="none" w:sz="0" w:space="0" w:color="auto"/>
                    <w:left w:val="none" w:sz="0" w:space="0" w:color="auto"/>
                    <w:bottom w:val="none" w:sz="0" w:space="0" w:color="auto"/>
                    <w:right w:val="none" w:sz="0" w:space="0" w:color="auto"/>
                  </w:divBdr>
                  <w:divsChild>
                    <w:div w:id="1982688319">
                      <w:marLeft w:val="0"/>
                      <w:marRight w:val="0"/>
                      <w:marTop w:val="0"/>
                      <w:marBottom w:val="0"/>
                      <w:divBdr>
                        <w:top w:val="none" w:sz="0" w:space="0" w:color="auto"/>
                        <w:left w:val="none" w:sz="0" w:space="0" w:color="auto"/>
                        <w:bottom w:val="none" w:sz="0" w:space="0" w:color="auto"/>
                        <w:right w:val="none" w:sz="0" w:space="0" w:color="auto"/>
                      </w:divBdr>
                      <w:divsChild>
                        <w:div w:id="1083718249">
                          <w:marLeft w:val="0"/>
                          <w:marRight w:val="0"/>
                          <w:marTop w:val="0"/>
                          <w:marBottom w:val="0"/>
                          <w:divBdr>
                            <w:top w:val="none" w:sz="0" w:space="0" w:color="auto"/>
                            <w:left w:val="none" w:sz="0" w:space="0" w:color="auto"/>
                            <w:bottom w:val="none" w:sz="0" w:space="0" w:color="auto"/>
                            <w:right w:val="none" w:sz="0" w:space="0" w:color="auto"/>
                          </w:divBdr>
                          <w:divsChild>
                            <w:div w:id="71088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978073">
      <w:bodyDiv w:val="1"/>
      <w:marLeft w:val="0"/>
      <w:marRight w:val="0"/>
      <w:marTop w:val="0"/>
      <w:marBottom w:val="0"/>
      <w:divBdr>
        <w:top w:val="none" w:sz="0" w:space="0" w:color="auto"/>
        <w:left w:val="none" w:sz="0" w:space="0" w:color="auto"/>
        <w:bottom w:val="none" w:sz="0" w:space="0" w:color="auto"/>
        <w:right w:val="none" w:sz="0" w:space="0" w:color="auto"/>
      </w:divBdr>
    </w:div>
    <w:div w:id="1348869048">
      <w:bodyDiv w:val="1"/>
      <w:marLeft w:val="0"/>
      <w:marRight w:val="0"/>
      <w:marTop w:val="0"/>
      <w:marBottom w:val="0"/>
      <w:divBdr>
        <w:top w:val="none" w:sz="0" w:space="0" w:color="auto"/>
        <w:left w:val="none" w:sz="0" w:space="0" w:color="auto"/>
        <w:bottom w:val="none" w:sz="0" w:space="0" w:color="auto"/>
        <w:right w:val="none" w:sz="0" w:space="0" w:color="auto"/>
      </w:divBdr>
    </w:div>
    <w:div w:id="1376463643">
      <w:bodyDiv w:val="1"/>
      <w:marLeft w:val="0"/>
      <w:marRight w:val="0"/>
      <w:marTop w:val="0"/>
      <w:marBottom w:val="0"/>
      <w:divBdr>
        <w:top w:val="none" w:sz="0" w:space="0" w:color="auto"/>
        <w:left w:val="none" w:sz="0" w:space="0" w:color="auto"/>
        <w:bottom w:val="none" w:sz="0" w:space="0" w:color="auto"/>
        <w:right w:val="none" w:sz="0" w:space="0" w:color="auto"/>
      </w:divBdr>
    </w:div>
    <w:div w:id="1554730998">
      <w:bodyDiv w:val="1"/>
      <w:marLeft w:val="0"/>
      <w:marRight w:val="0"/>
      <w:marTop w:val="0"/>
      <w:marBottom w:val="0"/>
      <w:divBdr>
        <w:top w:val="none" w:sz="0" w:space="0" w:color="auto"/>
        <w:left w:val="none" w:sz="0" w:space="0" w:color="auto"/>
        <w:bottom w:val="none" w:sz="0" w:space="0" w:color="auto"/>
        <w:right w:val="none" w:sz="0" w:space="0" w:color="auto"/>
      </w:divBdr>
    </w:div>
    <w:div w:id="1591544963">
      <w:bodyDiv w:val="1"/>
      <w:marLeft w:val="0"/>
      <w:marRight w:val="0"/>
      <w:marTop w:val="0"/>
      <w:marBottom w:val="0"/>
      <w:divBdr>
        <w:top w:val="none" w:sz="0" w:space="0" w:color="auto"/>
        <w:left w:val="none" w:sz="0" w:space="0" w:color="auto"/>
        <w:bottom w:val="none" w:sz="0" w:space="0" w:color="auto"/>
        <w:right w:val="none" w:sz="0" w:space="0" w:color="auto"/>
      </w:divBdr>
    </w:div>
    <w:div w:id="1650787833">
      <w:bodyDiv w:val="1"/>
      <w:marLeft w:val="0"/>
      <w:marRight w:val="0"/>
      <w:marTop w:val="0"/>
      <w:marBottom w:val="0"/>
      <w:divBdr>
        <w:top w:val="none" w:sz="0" w:space="0" w:color="auto"/>
        <w:left w:val="none" w:sz="0" w:space="0" w:color="auto"/>
        <w:bottom w:val="none" w:sz="0" w:space="0" w:color="auto"/>
        <w:right w:val="none" w:sz="0" w:space="0" w:color="auto"/>
      </w:divBdr>
      <w:divsChild>
        <w:div w:id="389311235">
          <w:marLeft w:val="547"/>
          <w:marRight w:val="0"/>
          <w:marTop w:val="134"/>
          <w:marBottom w:val="0"/>
          <w:divBdr>
            <w:top w:val="none" w:sz="0" w:space="0" w:color="auto"/>
            <w:left w:val="none" w:sz="0" w:space="0" w:color="auto"/>
            <w:bottom w:val="none" w:sz="0" w:space="0" w:color="auto"/>
            <w:right w:val="none" w:sz="0" w:space="0" w:color="auto"/>
          </w:divBdr>
        </w:div>
        <w:div w:id="396442604">
          <w:marLeft w:val="547"/>
          <w:marRight w:val="0"/>
          <w:marTop w:val="134"/>
          <w:marBottom w:val="0"/>
          <w:divBdr>
            <w:top w:val="none" w:sz="0" w:space="0" w:color="auto"/>
            <w:left w:val="none" w:sz="0" w:space="0" w:color="auto"/>
            <w:bottom w:val="none" w:sz="0" w:space="0" w:color="auto"/>
            <w:right w:val="none" w:sz="0" w:space="0" w:color="auto"/>
          </w:divBdr>
        </w:div>
        <w:div w:id="2018314089">
          <w:marLeft w:val="547"/>
          <w:marRight w:val="0"/>
          <w:marTop w:val="134"/>
          <w:marBottom w:val="0"/>
          <w:divBdr>
            <w:top w:val="none" w:sz="0" w:space="0" w:color="auto"/>
            <w:left w:val="none" w:sz="0" w:space="0" w:color="auto"/>
            <w:bottom w:val="none" w:sz="0" w:space="0" w:color="auto"/>
            <w:right w:val="none" w:sz="0" w:space="0" w:color="auto"/>
          </w:divBdr>
        </w:div>
      </w:divsChild>
    </w:div>
    <w:div w:id="1658528981">
      <w:bodyDiv w:val="1"/>
      <w:marLeft w:val="0"/>
      <w:marRight w:val="0"/>
      <w:marTop w:val="0"/>
      <w:marBottom w:val="0"/>
      <w:divBdr>
        <w:top w:val="none" w:sz="0" w:space="0" w:color="auto"/>
        <w:left w:val="none" w:sz="0" w:space="0" w:color="auto"/>
        <w:bottom w:val="none" w:sz="0" w:space="0" w:color="auto"/>
        <w:right w:val="none" w:sz="0" w:space="0" w:color="auto"/>
      </w:divBdr>
    </w:div>
    <w:div w:id="1958372666">
      <w:bodyDiv w:val="1"/>
      <w:marLeft w:val="0"/>
      <w:marRight w:val="0"/>
      <w:marTop w:val="0"/>
      <w:marBottom w:val="0"/>
      <w:divBdr>
        <w:top w:val="none" w:sz="0" w:space="0" w:color="auto"/>
        <w:left w:val="none" w:sz="0" w:space="0" w:color="auto"/>
        <w:bottom w:val="none" w:sz="0" w:space="0" w:color="auto"/>
        <w:right w:val="none" w:sz="0" w:space="0" w:color="auto"/>
      </w:divBdr>
    </w:div>
    <w:div w:id="1973704136">
      <w:bodyDiv w:val="1"/>
      <w:marLeft w:val="0"/>
      <w:marRight w:val="0"/>
      <w:marTop w:val="0"/>
      <w:marBottom w:val="0"/>
      <w:divBdr>
        <w:top w:val="none" w:sz="0" w:space="0" w:color="auto"/>
        <w:left w:val="none" w:sz="0" w:space="0" w:color="auto"/>
        <w:bottom w:val="none" w:sz="0" w:space="0" w:color="auto"/>
        <w:right w:val="none" w:sz="0" w:space="0" w:color="auto"/>
      </w:divBdr>
    </w:div>
    <w:div w:id="1980377665">
      <w:bodyDiv w:val="1"/>
      <w:marLeft w:val="0"/>
      <w:marRight w:val="0"/>
      <w:marTop w:val="0"/>
      <w:marBottom w:val="0"/>
      <w:divBdr>
        <w:top w:val="none" w:sz="0" w:space="0" w:color="auto"/>
        <w:left w:val="none" w:sz="0" w:space="0" w:color="auto"/>
        <w:bottom w:val="none" w:sz="0" w:space="0" w:color="auto"/>
        <w:right w:val="none" w:sz="0" w:space="0" w:color="auto"/>
      </w:divBdr>
    </w:div>
    <w:div w:id="2065790582">
      <w:bodyDiv w:val="1"/>
      <w:marLeft w:val="0"/>
      <w:marRight w:val="0"/>
      <w:marTop w:val="0"/>
      <w:marBottom w:val="0"/>
      <w:divBdr>
        <w:top w:val="none" w:sz="0" w:space="0" w:color="auto"/>
        <w:left w:val="none" w:sz="0" w:space="0" w:color="auto"/>
        <w:bottom w:val="none" w:sz="0" w:space="0" w:color="auto"/>
        <w:right w:val="none" w:sz="0" w:space="0" w:color="auto"/>
      </w:divBdr>
    </w:div>
    <w:div w:id="2078631443">
      <w:bodyDiv w:val="1"/>
      <w:marLeft w:val="0"/>
      <w:marRight w:val="0"/>
      <w:marTop w:val="0"/>
      <w:marBottom w:val="0"/>
      <w:divBdr>
        <w:top w:val="none" w:sz="0" w:space="0" w:color="auto"/>
        <w:left w:val="none" w:sz="0" w:space="0" w:color="auto"/>
        <w:bottom w:val="none" w:sz="0" w:space="0" w:color="auto"/>
        <w:right w:val="none" w:sz="0" w:space="0" w:color="auto"/>
      </w:divBdr>
    </w:div>
    <w:div w:id="2103910397">
      <w:bodyDiv w:val="1"/>
      <w:marLeft w:val="0"/>
      <w:marRight w:val="0"/>
      <w:marTop w:val="0"/>
      <w:marBottom w:val="0"/>
      <w:divBdr>
        <w:top w:val="none" w:sz="0" w:space="0" w:color="auto"/>
        <w:left w:val="none" w:sz="0" w:space="0" w:color="auto"/>
        <w:bottom w:val="none" w:sz="0" w:space="0" w:color="auto"/>
        <w:right w:val="none" w:sz="0" w:space="0" w:color="auto"/>
      </w:divBdr>
      <w:divsChild>
        <w:div w:id="978729147">
          <w:marLeft w:val="0"/>
          <w:marRight w:val="0"/>
          <w:marTop w:val="0"/>
          <w:marBottom w:val="0"/>
          <w:divBdr>
            <w:top w:val="none" w:sz="0" w:space="0" w:color="auto"/>
            <w:left w:val="none" w:sz="0" w:space="0" w:color="auto"/>
            <w:bottom w:val="none" w:sz="0" w:space="0" w:color="auto"/>
            <w:right w:val="none" w:sz="0" w:space="0" w:color="auto"/>
          </w:divBdr>
          <w:divsChild>
            <w:div w:id="729353295">
              <w:marLeft w:val="0"/>
              <w:marRight w:val="0"/>
              <w:marTop w:val="0"/>
              <w:marBottom w:val="0"/>
              <w:divBdr>
                <w:top w:val="none" w:sz="0" w:space="0" w:color="auto"/>
                <w:left w:val="none" w:sz="0" w:space="0" w:color="auto"/>
                <w:bottom w:val="none" w:sz="0" w:space="0" w:color="auto"/>
                <w:right w:val="none" w:sz="0" w:space="0" w:color="auto"/>
              </w:divBdr>
              <w:divsChild>
                <w:div w:id="471168696">
                  <w:marLeft w:val="0"/>
                  <w:marRight w:val="0"/>
                  <w:marTop w:val="0"/>
                  <w:marBottom w:val="0"/>
                  <w:divBdr>
                    <w:top w:val="none" w:sz="0" w:space="0" w:color="auto"/>
                    <w:left w:val="none" w:sz="0" w:space="0" w:color="auto"/>
                    <w:bottom w:val="none" w:sz="0" w:space="0" w:color="auto"/>
                    <w:right w:val="none" w:sz="0" w:space="0" w:color="auto"/>
                  </w:divBdr>
                  <w:divsChild>
                    <w:div w:id="1616790980">
                      <w:marLeft w:val="0"/>
                      <w:marRight w:val="0"/>
                      <w:marTop w:val="0"/>
                      <w:marBottom w:val="0"/>
                      <w:divBdr>
                        <w:top w:val="none" w:sz="0" w:space="0" w:color="auto"/>
                        <w:left w:val="none" w:sz="0" w:space="0" w:color="auto"/>
                        <w:bottom w:val="none" w:sz="0" w:space="0" w:color="auto"/>
                        <w:right w:val="none" w:sz="0" w:space="0" w:color="auto"/>
                      </w:divBdr>
                      <w:divsChild>
                        <w:div w:id="192001929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53353-C49A-4618-A597-936CBF27B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1957</TotalTime>
  <Pages>5</Pages>
  <Words>1840</Words>
  <Characters>9653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THE HIGHLAND COUNCIL</vt:lpstr>
    </vt:vector>
  </TitlesOfParts>
  <Company>.</Company>
  <LinksUpToDate>false</LinksUpToDate>
  <CharactersWithSpaces>11471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HIGHLAND COUNCIL</dc:title>
  <dc:creator>donnamd</dc:creator>
  <cp:lastModifiedBy>Jackie MacKenzie - ECS</cp:lastModifiedBy>
  <cp:revision>199</cp:revision>
  <cp:lastPrinted>2018-08-17T11:00:00Z</cp:lastPrinted>
  <dcterms:created xsi:type="dcterms:W3CDTF">2015-11-03T08:24:00Z</dcterms:created>
  <dcterms:modified xsi:type="dcterms:W3CDTF">2019-06-11T14:08:00Z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501162467</vt:i4>
  </property>
  <property fmtid="{D5CDD505-2E9C-101B-9397-08002B2CF9AE}" pid="3" name="_NewReviewCycle">
    <vt:lpwstr/>
  </property>
  <property fmtid="{D5CDD505-2E9C-101B-9397-08002B2CF9AE}" pid="4" name="_EmailSubject">
    <vt:lpwstr>WEB UPDATE</vt:lpwstr>
  </property>
  <property fmtid="{D5CDD505-2E9C-101B-9397-08002B2CF9AE}" pid="5" name="_AuthorEmail">
    <vt:lpwstr>Jackie.MacKenzie@highlifehighland.com</vt:lpwstr>
  </property>
  <property fmtid="{D5CDD505-2E9C-101B-9397-08002B2CF9AE}" pid="6" name="_AuthorEmailDisplayName">
    <vt:lpwstr>Jackie MacKenzie - High Life Highland</vt:lpwstr>
  </property>
</Properties>
</file>