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29"/>
        <w:gridCol w:w="2835"/>
      </w:tblGrid>
      <w:tr w:rsidR="00B84929" w:rsidRPr="007214D1" w:rsidTr="00DE1E6C">
        <w:trPr>
          <w:cantSplit/>
          <w:trHeight w:val="993"/>
        </w:trPr>
        <w:tc>
          <w:tcPr>
            <w:tcW w:w="6629" w:type="dxa"/>
          </w:tcPr>
          <w:p w:rsidR="00DE1E6C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HIGH LIFE HIGHLAND </w:t>
            </w:r>
          </w:p>
          <w:p w:rsidR="002B7DC4" w:rsidRDefault="00DE1E6C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REPORT TO BOARD OF DIRECTORS</w:t>
            </w:r>
          </w:p>
          <w:p w:rsidR="00017D2E" w:rsidRDefault="00E26CEE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March 2019</w:t>
            </w:r>
          </w:p>
          <w:p w:rsidR="00B84929" w:rsidRPr="007214D1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7214D1">
              <w:rPr>
                <w:rFonts w:ascii="Arial" w:hAnsi="Arial" w:cs="Arial"/>
                <w:szCs w:val="24"/>
              </w:rPr>
              <w:fldChar w:fldCharType="begin"/>
            </w:r>
            <w:r w:rsidRPr="007214D1">
              <w:rPr>
                <w:rFonts w:ascii="Arial" w:hAnsi="Arial" w:cs="Arial"/>
                <w:szCs w:val="24"/>
              </w:rPr>
              <w:instrText xml:space="preserve">  </w:instrText>
            </w:r>
            <w:r w:rsidRPr="007214D1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B84929" w:rsidRPr="007214D1" w:rsidRDefault="004C3A30" w:rsidP="0060608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AGENDA ITEM</w:t>
            </w:r>
            <w:r w:rsidR="00AB2B69">
              <w:rPr>
                <w:rFonts w:ascii="Arial" w:hAnsi="Arial" w:cs="Arial"/>
                <w:szCs w:val="24"/>
              </w:rPr>
              <w:t xml:space="preserve"> </w:t>
            </w:r>
            <w:r w:rsidR="00B84929">
              <w:rPr>
                <w:rFonts w:ascii="Arial" w:hAnsi="Arial" w:cs="Arial"/>
                <w:szCs w:val="24"/>
              </w:rPr>
              <w:t xml:space="preserve"> REPORT No HLH</w:t>
            </w:r>
            <w:r w:rsidR="0060608D">
              <w:rPr>
                <w:rFonts w:ascii="Arial" w:hAnsi="Arial" w:cs="Arial"/>
                <w:szCs w:val="24"/>
              </w:rPr>
              <w:t xml:space="preserve">  </w:t>
            </w:r>
            <w:r w:rsidR="0042698E">
              <w:rPr>
                <w:rFonts w:ascii="Arial" w:hAnsi="Arial" w:cs="Arial"/>
                <w:szCs w:val="24"/>
              </w:rPr>
              <w:t>/1</w:t>
            </w:r>
            <w:r w:rsidR="008E16E5">
              <w:rPr>
                <w:rFonts w:ascii="Arial" w:hAnsi="Arial" w:cs="Arial"/>
                <w:szCs w:val="24"/>
              </w:rPr>
              <w:t>9</w:t>
            </w:r>
          </w:p>
        </w:tc>
      </w:tr>
    </w:tbl>
    <w:p w:rsidR="0039450A" w:rsidRPr="007214D1" w:rsidRDefault="00F42CF3" w:rsidP="00DE1E6C">
      <w:pPr>
        <w:pStyle w:val="Heading2"/>
        <w:rPr>
          <w:rFonts w:ascii="Arial" w:hAnsi="Arial" w:cs="Arial"/>
          <w:b/>
          <w:szCs w:val="24"/>
          <w:u w:val="none"/>
        </w:rPr>
      </w:pPr>
      <w:r w:rsidRPr="00F42CF3">
        <w:rPr>
          <w:rFonts w:ascii="Arial" w:hAnsi="Arial" w:cs="Arial"/>
          <w:b/>
          <w:szCs w:val="24"/>
          <w:u w:val="none"/>
        </w:rPr>
        <w:t xml:space="preserve">HUMAN RESOURCES </w:t>
      </w:r>
      <w:r>
        <w:rPr>
          <w:rFonts w:ascii="Arial" w:hAnsi="Arial" w:cs="Arial"/>
          <w:b/>
          <w:szCs w:val="24"/>
          <w:u w:val="none"/>
        </w:rPr>
        <w:t xml:space="preserve">- </w:t>
      </w:r>
      <w:r w:rsidR="0039450A" w:rsidRPr="007214D1">
        <w:rPr>
          <w:rFonts w:ascii="Arial" w:hAnsi="Arial" w:cs="Arial"/>
          <w:b/>
          <w:szCs w:val="24"/>
          <w:u w:val="none"/>
        </w:rPr>
        <w:t xml:space="preserve">Report </w:t>
      </w:r>
      <w:r w:rsidR="00A8159A">
        <w:rPr>
          <w:rFonts w:ascii="Arial" w:hAnsi="Arial" w:cs="Arial"/>
          <w:b/>
          <w:szCs w:val="24"/>
          <w:u w:val="none"/>
        </w:rPr>
        <w:t>by</w:t>
      </w:r>
      <w:r w:rsidR="002B7DC4">
        <w:rPr>
          <w:rFonts w:ascii="Arial" w:hAnsi="Arial" w:cs="Arial"/>
          <w:b/>
          <w:szCs w:val="24"/>
          <w:u w:val="none"/>
        </w:rPr>
        <w:t xml:space="preserve"> Chief Executive</w:t>
      </w:r>
    </w:p>
    <w:p w:rsidR="0039450A" w:rsidRPr="007214D1" w:rsidRDefault="0039450A" w:rsidP="00474274">
      <w:pPr>
        <w:pStyle w:val="Heading1"/>
        <w:jc w:val="left"/>
        <w:rPr>
          <w:rFonts w:ascii="Arial" w:hAnsi="Arial" w:cs="Arial"/>
          <w:szCs w:val="24"/>
        </w:rPr>
      </w:pPr>
      <w:r w:rsidRPr="007214D1">
        <w:rPr>
          <w:rFonts w:ascii="Arial" w:hAnsi="Arial" w:cs="Arial"/>
          <w:szCs w:val="24"/>
        </w:rPr>
        <w:fldChar w:fldCharType="begin"/>
      </w:r>
      <w:r w:rsidRPr="007214D1">
        <w:rPr>
          <w:rFonts w:ascii="Arial" w:hAnsi="Arial" w:cs="Arial"/>
          <w:szCs w:val="24"/>
        </w:rPr>
        <w:instrText xml:space="preserve">  </w:instrText>
      </w:r>
      <w:r w:rsidRPr="007214D1">
        <w:rPr>
          <w:rFonts w:ascii="Arial" w:hAnsi="Arial" w:cs="Arial"/>
          <w:szCs w:val="24"/>
        </w:rPr>
        <w:fldChar w:fldCharType="end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9450A" w:rsidRPr="007214D1">
        <w:trPr>
          <w:cantSplit/>
        </w:trPr>
        <w:tc>
          <w:tcPr>
            <w:tcW w:w="9464" w:type="dxa"/>
          </w:tcPr>
          <w:p w:rsidR="0039450A" w:rsidRDefault="002B7DC4" w:rsidP="00416BFF">
            <w:pPr>
              <w:pStyle w:val="Heading2"/>
              <w:rPr>
                <w:rFonts w:ascii="Arial" w:hAnsi="Arial" w:cs="Arial"/>
                <w:b/>
                <w:szCs w:val="24"/>
                <w:u w:val="none"/>
              </w:rPr>
            </w:pPr>
            <w:r w:rsidRPr="002B7DC4">
              <w:rPr>
                <w:rFonts w:ascii="Arial" w:hAnsi="Arial" w:cs="Arial"/>
                <w:b/>
                <w:szCs w:val="24"/>
                <w:u w:val="none"/>
              </w:rPr>
              <w:t>Summary</w:t>
            </w:r>
            <w:r w:rsidR="00720B5B">
              <w:rPr>
                <w:rFonts w:ascii="Arial" w:hAnsi="Arial" w:cs="Arial"/>
                <w:b/>
                <w:szCs w:val="24"/>
                <w:u w:val="none"/>
              </w:rPr>
              <w:t xml:space="preserve"> </w:t>
            </w:r>
          </w:p>
          <w:p w:rsidR="001C41BF" w:rsidRDefault="00460DE4" w:rsidP="00AB2B6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purpose of this report is to update Directors on Human Resources activity</w:t>
            </w:r>
            <w:r w:rsidR="00C44DE0">
              <w:rPr>
                <w:rFonts w:ascii="Arial" w:hAnsi="Arial" w:cs="Arial"/>
              </w:rPr>
              <w:t xml:space="preserve"> for </w:t>
            </w:r>
            <w:r w:rsidR="00383500">
              <w:rPr>
                <w:rFonts w:ascii="Arial" w:hAnsi="Arial" w:cs="Arial"/>
              </w:rPr>
              <w:t xml:space="preserve">the period </w:t>
            </w:r>
            <w:r w:rsidR="00E26CEE">
              <w:rPr>
                <w:rFonts w:ascii="Arial" w:hAnsi="Arial" w:cs="Arial"/>
              </w:rPr>
              <w:t>October</w:t>
            </w:r>
            <w:r w:rsidR="00D022B2">
              <w:rPr>
                <w:rFonts w:ascii="Arial" w:hAnsi="Arial" w:cs="Arial"/>
              </w:rPr>
              <w:t xml:space="preserve"> to </w:t>
            </w:r>
            <w:r w:rsidR="00E26CEE">
              <w:rPr>
                <w:rFonts w:ascii="Arial" w:hAnsi="Arial" w:cs="Arial"/>
              </w:rPr>
              <w:t>December</w:t>
            </w:r>
            <w:r w:rsidR="005D6F6C">
              <w:rPr>
                <w:rFonts w:ascii="Arial" w:hAnsi="Arial" w:cs="Arial"/>
              </w:rPr>
              <w:t xml:space="preserve"> 201</w:t>
            </w:r>
            <w:r w:rsidR="00E26CE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383500">
              <w:rPr>
                <w:rFonts w:ascii="Arial" w:hAnsi="Arial" w:cs="Arial"/>
              </w:rPr>
              <w:t>which includes information relating to</w:t>
            </w:r>
            <w:r>
              <w:rPr>
                <w:rFonts w:ascii="Arial" w:hAnsi="Arial" w:cs="Arial"/>
              </w:rPr>
              <w:t xml:space="preserve"> absence, disciplinary and grievance issues</w:t>
            </w:r>
            <w:r w:rsidR="00383500">
              <w:rPr>
                <w:rFonts w:ascii="Arial" w:hAnsi="Arial" w:cs="Arial"/>
              </w:rPr>
              <w:t xml:space="preserve"> during this period</w:t>
            </w:r>
            <w:r>
              <w:rPr>
                <w:rFonts w:ascii="Arial" w:hAnsi="Arial" w:cs="Arial"/>
              </w:rPr>
              <w:t xml:space="preserve">.  </w:t>
            </w:r>
          </w:p>
          <w:p w:rsidR="00D022B2" w:rsidRDefault="00D022B2" w:rsidP="00D022B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It is recommen</w:t>
            </w:r>
            <w:r w:rsidRPr="007D45D7">
              <w:rPr>
                <w:rFonts w:ascii="Arial" w:hAnsi="Arial" w:cs="Arial"/>
                <w:szCs w:val="24"/>
              </w:rPr>
              <w:t>ded that Directors</w:t>
            </w:r>
            <w:r w:rsidR="00255A31">
              <w:rPr>
                <w:rFonts w:ascii="Arial" w:hAnsi="Arial" w:cs="Arial"/>
                <w:szCs w:val="24"/>
              </w:rPr>
              <w:t>:</w:t>
            </w:r>
            <w:r w:rsidR="00BD48D1">
              <w:rPr>
                <w:rFonts w:ascii="Arial" w:hAnsi="Arial" w:cs="Arial"/>
                <w:szCs w:val="24"/>
              </w:rPr>
              <w:t xml:space="preserve"> </w:t>
            </w:r>
          </w:p>
          <w:p w:rsidR="00D022B2" w:rsidRDefault="00D022B2" w:rsidP="00D022B2">
            <w:pPr>
              <w:jc w:val="both"/>
              <w:rPr>
                <w:rFonts w:ascii="Arial" w:hAnsi="Arial" w:cs="Arial"/>
                <w:szCs w:val="24"/>
              </w:rPr>
            </w:pPr>
          </w:p>
          <w:p w:rsidR="00C42FCC" w:rsidRDefault="00255A31" w:rsidP="00B143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 and </w:t>
            </w:r>
            <w:r w:rsidR="00D022B2" w:rsidRPr="00B3785C">
              <w:rPr>
                <w:rFonts w:ascii="Arial" w:hAnsi="Arial" w:cs="Arial"/>
                <w:sz w:val="24"/>
                <w:szCs w:val="24"/>
              </w:rPr>
              <w:t>comment on the content of the quarterly HR report including the update on the staffing establishment</w:t>
            </w:r>
            <w:r w:rsidR="00C42FCC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1C52A6" w:rsidRDefault="00C42FCC" w:rsidP="00B143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and comment on the outcomes of the short-term working group looking at staff health and wellbeing to date</w:t>
            </w:r>
            <w:r w:rsidR="001C52A6">
              <w:rPr>
                <w:rFonts w:ascii="Arial" w:hAnsi="Arial" w:cs="Arial"/>
                <w:sz w:val="24"/>
                <w:szCs w:val="24"/>
              </w:rPr>
              <w:t>; and</w:t>
            </w:r>
          </w:p>
          <w:p w:rsidR="00D022B2" w:rsidRPr="00B3785C" w:rsidRDefault="001C52A6" w:rsidP="00B143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timings and process for this year’s staff survey.</w:t>
            </w:r>
            <w:r w:rsidR="00D022B2" w:rsidRPr="00B378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1569" w:rsidRPr="00D022B2" w:rsidRDefault="00721569" w:rsidP="00B47D2F">
            <w:pPr>
              <w:pStyle w:val="ListParagraph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39450A" w:rsidRPr="007214D1" w:rsidRDefault="0039450A" w:rsidP="00416BFF">
      <w:pPr>
        <w:jc w:val="both"/>
        <w:rPr>
          <w:rFonts w:ascii="Arial" w:hAnsi="Arial" w:cs="Arial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</w:tblGrid>
      <w:tr w:rsidR="006F5801" w:rsidRPr="007214D1" w:rsidTr="006F3879">
        <w:tc>
          <w:tcPr>
            <w:tcW w:w="959" w:type="dxa"/>
          </w:tcPr>
          <w:p w:rsidR="006F5801" w:rsidRPr="007214D1" w:rsidRDefault="006F5801" w:rsidP="00416BF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8505" w:type="dxa"/>
          </w:tcPr>
          <w:p w:rsidR="006F5801" w:rsidRDefault="006F5801" w:rsidP="006F580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66429">
              <w:rPr>
                <w:rFonts w:ascii="Arial" w:hAnsi="Arial" w:cs="Arial"/>
                <w:b/>
                <w:szCs w:val="24"/>
              </w:rPr>
              <w:t>Business Plan Contribution</w:t>
            </w:r>
          </w:p>
          <w:p w:rsidR="006F5801" w:rsidRPr="007214D1" w:rsidRDefault="006F5801" w:rsidP="00474274">
            <w:pPr>
              <w:pStyle w:val="Heading3"/>
              <w:rPr>
                <w:rFonts w:ascii="Arial" w:hAnsi="Arial" w:cs="Arial"/>
                <w:b/>
                <w:szCs w:val="24"/>
                <w:u w:val="none"/>
              </w:rPr>
            </w:pPr>
          </w:p>
        </w:tc>
      </w:tr>
      <w:tr w:rsidR="006F5801" w:rsidRPr="007214D1" w:rsidTr="006F3879">
        <w:tc>
          <w:tcPr>
            <w:tcW w:w="959" w:type="dxa"/>
          </w:tcPr>
          <w:p w:rsidR="006F5801" w:rsidRPr="006F5801" w:rsidRDefault="006F5801" w:rsidP="00416BFF">
            <w:pPr>
              <w:rPr>
                <w:rFonts w:ascii="Arial" w:hAnsi="Arial" w:cs="Arial"/>
                <w:szCs w:val="24"/>
              </w:rPr>
            </w:pPr>
            <w:r w:rsidRPr="006F580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8505" w:type="dxa"/>
          </w:tcPr>
          <w:p w:rsidR="009C0A57" w:rsidRPr="008C37C8" w:rsidRDefault="009C0A57" w:rsidP="009C0A57">
            <w:pPr>
              <w:jc w:val="both"/>
              <w:rPr>
                <w:rFonts w:ascii="Arial" w:hAnsi="Arial" w:cs="Arial"/>
              </w:rPr>
            </w:pPr>
            <w:r w:rsidRPr="008C37C8">
              <w:rPr>
                <w:rFonts w:ascii="Arial" w:hAnsi="Arial" w:cs="Arial"/>
              </w:rPr>
              <w:t>This report supports the highlighted Business Outcomes from the High Life Highland (HLH) Business Plan:</w:t>
            </w:r>
          </w:p>
          <w:p w:rsidR="009C0A57" w:rsidRPr="008C37C8" w:rsidRDefault="009C0A57" w:rsidP="009C0A57">
            <w:pPr>
              <w:jc w:val="both"/>
              <w:rPr>
                <w:rFonts w:ascii="Arial" w:hAnsi="Arial" w:cs="Arial"/>
              </w:rPr>
            </w:pP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65F">
              <w:rPr>
                <w:rFonts w:ascii="Arial" w:hAnsi="Arial" w:cs="Arial"/>
                <w:sz w:val="24"/>
                <w:szCs w:val="24"/>
              </w:rPr>
              <w:t>To advance sustainable growth and financial sustainability</w:t>
            </w: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65F">
              <w:rPr>
                <w:rFonts w:ascii="Arial" w:hAnsi="Arial" w:cs="Arial"/>
                <w:b/>
                <w:sz w:val="24"/>
                <w:szCs w:val="24"/>
              </w:rPr>
              <w:t>Deliver the Service Delivery Contract with THC</w:t>
            </w: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65F">
              <w:rPr>
                <w:rFonts w:ascii="Arial" w:hAnsi="Arial" w:cs="Arial"/>
                <w:b/>
                <w:sz w:val="24"/>
                <w:szCs w:val="24"/>
              </w:rPr>
              <w:t>Improving staff satisfaction</w:t>
            </w: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65F">
              <w:rPr>
                <w:rFonts w:ascii="Arial" w:hAnsi="Arial" w:cs="Arial"/>
                <w:b/>
                <w:sz w:val="24"/>
                <w:szCs w:val="24"/>
              </w:rPr>
              <w:t>Improving customer satisfaction</w:t>
            </w:r>
          </w:p>
          <w:p w:rsidR="00C3461A" w:rsidRPr="005A67CE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67CE">
              <w:rPr>
                <w:rFonts w:ascii="Arial" w:hAnsi="Arial" w:cs="Arial"/>
                <w:b/>
                <w:sz w:val="24"/>
                <w:szCs w:val="24"/>
              </w:rPr>
              <w:t>A positive company image</w:t>
            </w: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65F">
              <w:rPr>
                <w:rFonts w:ascii="Arial" w:hAnsi="Arial" w:cs="Arial"/>
                <w:sz w:val="24"/>
                <w:szCs w:val="24"/>
              </w:rPr>
              <w:t>Services designed around customers and through market opportunities</w:t>
            </w: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65F">
              <w:rPr>
                <w:rFonts w:ascii="Arial" w:hAnsi="Arial" w:cs="Arial"/>
                <w:sz w:val="24"/>
                <w:szCs w:val="24"/>
              </w:rPr>
              <w:t>Sustain a good health and safety performance</w:t>
            </w:r>
          </w:p>
          <w:p w:rsidR="00C3461A" w:rsidRPr="0068065F" w:rsidRDefault="00C3461A" w:rsidP="00A45F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65F">
              <w:rPr>
                <w:rFonts w:ascii="Arial" w:hAnsi="Arial" w:cs="Arial"/>
                <w:sz w:val="24"/>
                <w:szCs w:val="24"/>
              </w:rPr>
              <w:t>A trusted partner</w:t>
            </w:r>
          </w:p>
          <w:p w:rsidR="006F5801" w:rsidRPr="00460DE4" w:rsidRDefault="006F5801" w:rsidP="009C0A5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F5801" w:rsidRPr="007214D1" w:rsidTr="006F3879">
        <w:tc>
          <w:tcPr>
            <w:tcW w:w="959" w:type="dxa"/>
          </w:tcPr>
          <w:p w:rsidR="006F5801" w:rsidRPr="007214D1" w:rsidRDefault="006F5801" w:rsidP="00416BF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Pr="007214D1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505" w:type="dxa"/>
          </w:tcPr>
          <w:p w:rsidR="006F5801" w:rsidRDefault="006F5801" w:rsidP="00474274">
            <w:pPr>
              <w:pStyle w:val="Heading3"/>
              <w:rPr>
                <w:rFonts w:ascii="Arial" w:hAnsi="Arial" w:cs="Arial"/>
                <w:b/>
                <w:szCs w:val="24"/>
                <w:u w:val="none"/>
              </w:rPr>
            </w:pPr>
            <w:r w:rsidRPr="007214D1">
              <w:rPr>
                <w:rFonts w:ascii="Arial" w:hAnsi="Arial" w:cs="Arial"/>
                <w:b/>
                <w:szCs w:val="24"/>
                <w:u w:val="none"/>
              </w:rPr>
              <w:t>Background</w:t>
            </w:r>
          </w:p>
          <w:p w:rsidR="006F5801" w:rsidRPr="00474274" w:rsidRDefault="006F5801" w:rsidP="00474274">
            <w:pPr>
              <w:jc w:val="both"/>
            </w:pPr>
          </w:p>
        </w:tc>
      </w:tr>
      <w:tr w:rsidR="006F5801" w:rsidRPr="007214D1" w:rsidTr="006F3879">
        <w:trPr>
          <w:trHeight w:val="542"/>
        </w:trPr>
        <w:tc>
          <w:tcPr>
            <w:tcW w:w="959" w:type="dxa"/>
          </w:tcPr>
          <w:p w:rsidR="006F5801" w:rsidRDefault="006F5801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7214D1">
              <w:rPr>
                <w:rFonts w:ascii="Arial" w:hAnsi="Arial" w:cs="Arial"/>
                <w:szCs w:val="24"/>
              </w:rPr>
              <w:t xml:space="preserve">.1 </w:t>
            </w:r>
          </w:p>
          <w:p w:rsidR="00782718" w:rsidRDefault="00782718" w:rsidP="00416BFF">
            <w:pPr>
              <w:rPr>
                <w:rFonts w:ascii="Arial" w:hAnsi="Arial" w:cs="Arial"/>
                <w:szCs w:val="24"/>
              </w:rPr>
            </w:pPr>
          </w:p>
          <w:p w:rsidR="00782718" w:rsidRDefault="00782718" w:rsidP="00416BFF">
            <w:pPr>
              <w:rPr>
                <w:rFonts w:ascii="Arial" w:hAnsi="Arial" w:cs="Arial"/>
                <w:szCs w:val="24"/>
              </w:rPr>
            </w:pPr>
          </w:p>
          <w:p w:rsidR="00782718" w:rsidRDefault="00782718" w:rsidP="00416BFF">
            <w:pPr>
              <w:rPr>
                <w:rFonts w:ascii="Arial" w:hAnsi="Arial" w:cs="Arial"/>
                <w:szCs w:val="24"/>
              </w:rPr>
            </w:pPr>
          </w:p>
          <w:p w:rsidR="00782718" w:rsidRDefault="00782718" w:rsidP="00416BFF">
            <w:pPr>
              <w:rPr>
                <w:rFonts w:ascii="Arial" w:hAnsi="Arial" w:cs="Arial"/>
                <w:szCs w:val="24"/>
              </w:rPr>
            </w:pPr>
          </w:p>
          <w:p w:rsidR="00742B9E" w:rsidRPr="00E66429" w:rsidRDefault="00742B9E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4120A6" w:rsidRDefault="006F5801" w:rsidP="0014118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Human Resources </w:t>
            </w:r>
            <w:r w:rsidR="00751A5C">
              <w:rPr>
                <w:rFonts w:ascii="Arial" w:hAnsi="Arial" w:cs="Arial"/>
                <w:szCs w:val="24"/>
              </w:rPr>
              <w:t xml:space="preserve">(HR) </w:t>
            </w:r>
            <w:r>
              <w:rPr>
                <w:rFonts w:ascii="Arial" w:hAnsi="Arial" w:cs="Arial"/>
                <w:szCs w:val="24"/>
              </w:rPr>
              <w:t xml:space="preserve">report is a </w:t>
            </w:r>
            <w:r w:rsidR="00141185">
              <w:rPr>
                <w:rFonts w:ascii="Arial" w:hAnsi="Arial" w:cs="Arial"/>
                <w:szCs w:val="24"/>
              </w:rPr>
              <w:t>summary</w:t>
            </w:r>
            <w:r>
              <w:rPr>
                <w:rFonts w:ascii="Arial" w:hAnsi="Arial" w:cs="Arial"/>
                <w:szCs w:val="24"/>
              </w:rPr>
              <w:t xml:space="preserve"> of </w:t>
            </w:r>
            <w:r w:rsidR="00751A5C">
              <w:rPr>
                <w:rFonts w:ascii="Arial" w:hAnsi="Arial" w:cs="Arial"/>
                <w:szCs w:val="24"/>
              </w:rPr>
              <w:t>HR</w:t>
            </w:r>
            <w:r>
              <w:rPr>
                <w:rFonts w:ascii="Arial" w:hAnsi="Arial" w:cs="Arial"/>
                <w:szCs w:val="24"/>
              </w:rPr>
              <w:t xml:space="preserve"> activity in the preceding quarter</w:t>
            </w:r>
            <w:r w:rsidR="00D75611">
              <w:rPr>
                <w:rFonts w:ascii="Arial" w:hAnsi="Arial" w:cs="Arial"/>
                <w:szCs w:val="24"/>
              </w:rPr>
              <w:t>,</w:t>
            </w:r>
            <w:r w:rsidR="004120A6">
              <w:rPr>
                <w:rFonts w:ascii="Arial" w:hAnsi="Arial" w:cs="Arial"/>
                <w:szCs w:val="24"/>
              </w:rPr>
              <w:t xml:space="preserve"> offering an</w:t>
            </w:r>
            <w:r>
              <w:rPr>
                <w:rFonts w:ascii="Arial" w:hAnsi="Arial" w:cs="Arial"/>
                <w:szCs w:val="24"/>
              </w:rPr>
              <w:t xml:space="preserve"> update on current staff numbers </w:t>
            </w:r>
            <w:r w:rsidR="004120A6">
              <w:rPr>
                <w:rFonts w:ascii="Arial" w:hAnsi="Arial" w:cs="Arial"/>
                <w:szCs w:val="24"/>
              </w:rPr>
              <w:t>along with</w:t>
            </w:r>
            <w:r>
              <w:rPr>
                <w:rFonts w:ascii="Arial" w:hAnsi="Arial" w:cs="Arial"/>
                <w:szCs w:val="24"/>
              </w:rPr>
              <w:t xml:space="preserve"> any change </w:t>
            </w:r>
            <w:r w:rsidR="00D75611">
              <w:rPr>
                <w:rFonts w:ascii="Arial" w:hAnsi="Arial" w:cs="Arial"/>
                <w:szCs w:val="24"/>
              </w:rPr>
              <w:t>since</w:t>
            </w:r>
            <w:r>
              <w:rPr>
                <w:rFonts w:ascii="Arial" w:hAnsi="Arial" w:cs="Arial"/>
                <w:szCs w:val="24"/>
              </w:rPr>
              <w:t xml:space="preserve"> previous reports.  There is also a</w:t>
            </w:r>
            <w:r w:rsidR="00141185">
              <w:rPr>
                <w:rFonts w:ascii="Arial" w:hAnsi="Arial" w:cs="Arial"/>
                <w:szCs w:val="24"/>
              </w:rPr>
              <w:t>n outline of the absence levels</w:t>
            </w:r>
            <w:r w:rsidR="004120A6">
              <w:rPr>
                <w:rFonts w:ascii="Arial" w:hAnsi="Arial" w:cs="Arial"/>
                <w:szCs w:val="24"/>
              </w:rPr>
              <w:t xml:space="preserve"> (which for the first time are sub-sectioned into short and long-term absence</w:t>
            </w:r>
            <w:r w:rsidR="00383500">
              <w:rPr>
                <w:rFonts w:ascii="Arial" w:hAnsi="Arial" w:cs="Arial"/>
                <w:szCs w:val="24"/>
              </w:rPr>
              <w:t xml:space="preserve"> in this report</w:t>
            </w:r>
            <w:r w:rsidR="004120A6">
              <w:rPr>
                <w:rFonts w:ascii="Arial" w:hAnsi="Arial" w:cs="Arial"/>
                <w:szCs w:val="24"/>
              </w:rPr>
              <w:t>)</w:t>
            </w:r>
            <w:r w:rsidR="00141185">
              <w:rPr>
                <w:rFonts w:ascii="Arial" w:hAnsi="Arial" w:cs="Arial"/>
                <w:szCs w:val="24"/>
              </w:rPr>
              <w:t>; activity relating to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141185">
              <w:rPr>
                <w:rFonts w:ascii="Arial" w:hAnsi="Arial" w:cs="Arial"/>
                <w:szCs w:val="24"/>
              </w:rPr>
              <w:t xml:space="preserve">any </w:t>
            </w:r>
            <w:r>
              <w:rPr>
                <w:rFonts w:ascii="Arial" w:hAnsi="Arial" w:cs="Arial"/>
                <w:szCs w:val="24"/>
              </w:rPr>
              <w:t>disciplinary</w:t>
            </w:r>
            <w:r w:rsidR="00141185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grievance</w:t>
            </w:r>
            <w:r w:rsidR="00141185">
              <w:rPr>
                <w:rFonts w:ascii="Arial" w:hAnsi="Arial" w:cs="Arial"/>
                <w:szCs w:val="24"/>
              </w:rPr>
              <w:t xml:space="preserve"> and </w:t>
            </w:r>
            <w:r>
              <w:rPr>
                <w:rFonts w:ascii="Arial" w:hAnsi="Arial" w:cs="Arial"/>
                <w:szCs w:val="24"/>
              </w:rPr>
              <w:t xml:space="preserve">harassment </w:t>
            </w:r>
            <w:r w:rsidR="00141185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ssues</w:t>
            </w:r>
            <w:r w:rsidR="00141185">
              <w:rPr>
                <w:rFonts w:ascii="Arial" w:hAnsi="Arial" w:cs="Arial"/>
                <w:szCs w:val="24"/>
              </w:rPr>
              <w:t>;</w:t>
            </w:r>
            <w:r>
              <w:rPr>
                <w:rFonts w:ascii="Arial" w:hAnsi="Arial" w:cs="Arial"/>
                <w:szCs w:val="24"/>
              </w:rPr>
              <w:t xml:space="preserve"> and an employee relations update.</w:t>
            </w:r>
          </w:p>
          <w:p w:rsidR="00782718" w:rsidRPr="007214D1" w:rsidRDefault="00782718" w:rsidP="0078271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F5801" w:rsidRPr="007214D1" w:rsidTr="006F3879">
        <w:tc>
          <w:tcPr>
            <w:tcW w:w="959" w:type="dxa"/>
          </w:tcPr>
          <w:p w:rsidR="006F5801" w:rsidRDefault="006F5801" w:rsidP="00416BF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Pr="007214D1">
              <w:rPr>
                <w:rFonts w:ascii="Arial" w:hAnsi="Arial" w:cs="Arial"/>
                <w:b/>
                <w:szCs w:val="24"/>
              </w:rPr>
              <w:t>.</w:t>
            </w:r>
          </w:p>
          <w:p w:rsidR="0045618C" w:rsidRDefault="0045618C" w:rsidP="00416BFF">
            <w:pPr>
              <w:rPr>
                <w:rFonts w:ascii="Arial" w:hAnsi="Arial" w:cs="Arial"/>
                <w:b/>
                <w:szCs w:val="24"/>
              </w:rPr>
            </w:pPr>
          </w:p>
          <w:p w:rsidR="0045618C" w:rsidRPr="0045618C" w:rsidRDefault="0045618C" w:rsidP="00416BFF">
            <w:pPr>
              <w:rPr>
                <w:rFonts w:ascii="Arial" w:hAnsi="Arial" w:cs="Arial"/>
                <w:szCs w:val="24"/>
              </w:rPr>
            </w:pPr>
            <w:r w:rsidRPr="0045618C">
              <w:rPr>
                <w:rFonts w:ascii="Arial" w:hAnsi="Arial" w:cs="Arial"/>
                <w:szCs w:val="24"/>
              </w:rPr>
              <w:t>3.1</w:t>
            </w:r>
          </w:p>
          <w:p w:rsidR="0045618C" w:rsidRPr="0045618C" w:rsidRDefault="0045618C" w:rsidP="00416BFF">
            <w:pPr>
              <w:rPr>
                <w:rFonts w:ascii="Arial" w:hAnsi="Arial" w:cs="Arial"/>
                <w:szCs w:val="24"/>
              </w:rPr>
            </w:pPr>
          </w:p>
          <w:p w:rsidR="0045618C" w:rsidRPr="0045618C" w:rsidRDefault="0045618C" w:rsidP="00416BFF">
            <w:pPr>
              <w:rPr>
                <w:rFonts w:ascii="Arial" w:hAnsi="Arial" w:cs="Arial"/>
                <w:szCs w:val="24"/>
              </w:rPr>
            </w:pPr>
            <w:r w:rsidRPr="0045618C">
              <w:rPr>
                <w:rFonts w:ascii="Arial" w:hAnsi="Arial" w:cs="Arial"/>
                <w:szCs w:val="24"/>
              </w:rPr>
              <w:t>3.1.1</w:t>
            </w:r>
          </w:p>
          <w:p w:rsidR="0045618C" w:rsidRPr="0045618C" w:rsidRDefault="0045618C" w:rsidP="00416BFF">
            <w:pPr>
              <w:rPr>
                <w:rFonts w:ascii="Arial" w:hAnsi="Arial" w:cs="Arial"/>
                <w:szCs w:val="24"/>
              </w:rPr>
            </w:pPr>
          </w:p>
          <w:p w:rsidR="0045618C" w:rsidRPr="0045618C" w:rsidRDefault="0045618C" w:rsidP="00416BFF">
            <w:pPr>
              <w:rPr>
                <w:rFonts w:ascii="Arial" w:hAnsi="Arial" w:cs="Arial"/>
                <w:szCs w:val="24"/>
              </w:rPr>
            </w:pPr>
          </w:p>
          <w:p w:rsidR="000F5A33" w:rsidRDefault="000F5A33" w:rsidP="00416BFF">
            <w:pPr>
              <w:rPr>
                <w:rFonts w:ascii="Arial" w:hAnsi="Arial" w:cs="Arial"/>
                <w:szCs w:val="24"/>
              </w:rPr>
            </w:pPr>
          </w:p>
          <w:p w:rsidR="00AB4988" w:rsidRDefault="00AB4988" w:rsidP="00416BFF">
            <w:pPr>
              <w:rPr>
                <w:rFonts w:ascii="Arial" w:hAnsi="Arial" w:cs="Arial"/>
                <w:szCs w:val="24"/>
              </w:rPr>
            </w:pPr>
          </w:p>
          <w:p w:rsidR="00AB4988" w:rsidRDefault="00AB4988" w:rsidP="00416BFF">
            <w:pPr>
              <w:rPr>
                <w:rFonts w:ascii="Arial" w:hAnsi="Arial" w:cs="Arial"/>
                <w:szCs w:val="24"/>
              </w:rPr>
            </w:pPr>
          </w:p>
          <w:p w:rsidR="0045618C" w:rsidRDefault="0045618C" w:rsidP="00416BFF">
            <w:pPr>
              <w:rPr>
                <w:rFonts w:ascii="Arial" w:hAnsi="Arial" w:cs="Arial"/>
                <w:szCs w:val="24"/>
              </w:rPr>
            </w:pPr>
            <w:r w:rsidRPr="0045618C">
              <w:rPr>
                <w:rFonts w:ascii="Arial" w:hAnsi="Arial" w:cs="Arial"/>
                <w:szCs w:val="24"/>
              </w:rPr>
              <w:t>3.1.2</w:t>
            </w:r>
          </w:p>
          <w:p w:rsidR="00314D66" w:rsidRPr="00314D66" w:rsidRDefault="00314D66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6F5801" w:rsidRDefault="006F5801" w:rsidP="0047427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Human Resources Report: </w:t>
            </w:r>
            <w:r w:rsidR="00E26CEE">
              <w:rPr>
                <w:rFonts w:ascii="Arial" w:hAnsi="Arial" w:cs="Arial"/>
                <w:b/>
                <w:szCs w:val="24"/>
              </w:rPr>
              <w:t>October to December 2018</w:t>
            </w:r>
          </w:p>
          <w:p w:rsidR="006F5801" w:rsidRDefault="006F5801" w:rsidP="00474274">
            <w:pPr>
              <w:jc w:val="both"/>
              <w:rPr>
                <w:rFonts w:ascii="Arial" w:hAnsi="Arial" w:cs="Arial"/>
                <w:szCs w:val="24"/>
              </w:rPr>
            </w:pPr>
          </w:p>
          <w:p w:rsidR="0045618C" w:rsidRDefault="0045618C" w:rsidP="0045618C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265F13">
              <w:rPr>
                <w:rFonts w:ascii="Arial" w:hAnsi="Arial" w:cs="Arial"/>
                <w:szCs w:val="24"/>
                <w:u w:val="single"/>
              </w:rPr>
              <w:t>Staff Establishment Numbers</w:t>
            </w:r>
          </w:p>
          <w:p w:rsidR="0045618C" w:rsidRDefault="0045618C" w:rsidP="0045618C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</w:p>
          <w:p w:rsidR="000F5A33" w:rsidRDefault="000F5A33" w:rsidP="0045618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Directors should note the changes to establishment in full-time equivalents (FTE):</w:t>
            </w:r>
          </w:p>
          <w:p w:rsidR="000F5A33" w:rsidRDefault="000F5A33" w:rsidP="0045618C">
            <w:pPr>
              <w:jc w:val="both"/>
              <w:rPr>
                <w:rFonts w:ascii="Arial" w:hAnsi="Arial" w:cs="Arial"/>
                <w:szCs w:val="24"/>
              </w:rPr>
            </w:pPr>
          </w:p>
          <w:p w:rsidR="00E26CEE" w:rsidRDefault="000F5A33" w:rsidP="00E26CE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Establishment at end of </w:t>
            </w:r>
            <w:r w:rsidRPr="004120A6">
              <w:rPr>
                <w:rFonts w:ascii="Arial" w:hAnsi="Arial" w:cs="Arial"/>
                <w:b/>
                <w:szCs w:val="24"/>
              </w:rPr>
              <w:t xml:space="preserve">Quarter </w:t>
            </w:r>
            <w:r w:rsidR="00DD3B83">
              <w:rPr>
                <w:rFonts w:ascii="Arial" w:hAnsi="Arial" w:cs="Arial"/>
                <w:b/>
                <w:szCs w:val="24"/>
              </w:rPr>
              <w:t>2</w:t>
            </w:r>
            <w:r w:rsidR="0060608D">
              <w:rPr>
                <w:rFonts w:ascii="Arial" w:hAnsi="Arial" w:cs="Arial"/>
                <w:szCs w:val="24"/>
              </w:rPr>
              <w:t>(</w:t>
            </w:r>
            <w:r w:rsidR="00E26CEE">
              <w:rPr>
                <w:rFonts w:ascii="Arial" w:hAnsi="Arial" w:cs="Arial"/>
                <w:szCs w:val="24"/>
              </w:rPr>
              <w:t xml:space="preserve">July to September 2018) = </w:t>
            </w:r>
            <w:r w:rsidR="00E26CEE" w:rsidRPr="003B3A9B">
              <w:rPr>
                <w:rFonts w:ascii="Arial" w:hAnsi="Arial" w:cs="Arial"/>
                <w:b/>
                <w:szCs w:val="24"/>
              </w:rPr>
              <w:t>687.66</w:t>
            </w:r>
          </w:p>
          <w:p w:rsidR="000F5A33" w:rsidRDefault="000F5A33" w:rsidP="00E26CE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Establishment at end of </w:t>
            </w:r>
            <w:r w:rsidRPr="004120A6">
              <w:rPr>
                <w:rFonts w:ascii="Arial" w:hAnsi="Arial" w:cs="Arial"/>
                <w:b/>
                <w:szCs w:val="24"/>
              </w:rPr>
              <w:t xml:space="preserve">Quarter </w:t>
            </w:r>
            <w:r w:rsidR="00DD3B83">
              <w:rPr>
                <w:rFonts w:ascii="Arial" w:hAnsi="Arial" w:cs="Arial"/>
                <w:b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60608D">
              <w:rPr>
                <w:rFonts w:ascii="Arial" w:hAnsi="Arial" w:cs="Arial"/>
                <w:szCs w:val="24"/>
              </w:rPr>
              <w:t>(</w:t>
            </w:r>
            <w:r w:rsidR="00E26CEE">
              <w:rPr>
                <w:rFonts w:ascii="Arial" w:hAnsi="Arial" w:cs="Arial"/>
                <w:szCs w:val="24"/>
              </w:rPr>
              <w:t>October to December</w:t>
            </w:r>
            <w:r w:rsidR="006B67F8">
              <w:rPr>
                <w:rFonts w:ascii="Arial" w:hAnsi="Arial" w:cs="Arial"/>
                <w:szCs w:val="24"/>
              </w:rPr>
              <w:t xml:space="preserve"> 20</w:t>
            </w:r>
            <w:r w:rsidR="0060608D">
              <w:rPr>
                <w:rFonts w:ascii="Arial" w:hAnsi="Arial" w:cs="Arial"/>
                <w:szCs w:val="24"/>
              </w:rPr>
              <w:t xml:space="preserve">18) = </w:t>
            </w:r>
            <w:r w:rsidR="00E26CEE" w:rsidRPr="00E26CEE">
              <w:rPr>
                <w:rFonts w:ascii="Arial" w:hAnsi="Arial" w:cs="Arial"/>
                <w:b/>
                <w:szCs w:val="24"/>
              </w:rPr>
              <w:t>687.92</w:t>
            </w:r>
          </w:p>
          <w:p w:rsidR="000F5A33" w:rsidRDefault="000F5A33" w:rsidP="0045618C">
            <w:pPr>
              <w:jc w:val="both"/>
              <w:rPr>
                <w:rFonts w:ascii="Arial" w:hAnsi="Arial" w:cs="Arial"/>
                <w:szCs w:val="24"/>
              </w:rPr>
            </w:pPr>
          </w:p>
          <w:p w:rsidR="009B7A20" w:rsidRDefault="000F5A33" w:rsidP="003B3A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Changes to the establishment in last Quarter </w:t>
            </w:r>
            <w:r w:rsidR="00C8333C">
              <w:rPr>
                <w:rFonts w:ascii="Arial" w:hAnsi="Arial" w:cs="Arial"/>
                <w:szCs w:val="24"/>
              </w:rPr>
              <w:t xml:space="preserve">detailed in </w:t>
            </w:r>
            <w:r w:rsidR="00C8333C" w:rsidRPr="00C8333C">
              <w:rPr>
                <w:rFonts w:ascii="Arial" w:hAnsi="Arial" w:cs="Arial"/>
                <w:b/>
                <w:szCs w:val="24"/>
              </w:rPr>
              <w:t>Appendix A</w:t>
            </w:r>
            <w:r w:rsidR="00C8333C">
              <w:rPr>
                <w:rFonts w:ascii="Arial" w:hAnsi="Arial" w:cs="Arial"/>
                <w:szCs w:val="24"/>
              </w:rPr>
              <w:t xml:space="preserve"> show an increase of </w:t>
            </w:r>
            <w:r w:rsidR="00E26CEE">
              <w:rPr>
                <w:rFonts w:ascii="Arial" w:hAnsi="Arial" w:cs="Arial"/>
                <w:szCs w:val="24"/>
              </w:rPr>
              <w:t xml:space="preserve">0.264 </w:t>
            </w:r>
            <w:r>
              <w:rPr>
                <w:rFonts w:ascii="Arial" w:hAnsi="Arial" w:cs="Arial"/>
                <w:szCs w:val="24"/>
              </w:rPr>
              <w:t>FTE</w:t>
            </w:r>
            <w:r w:rsidR="000E16F2">
              <w:rPr>
                <w:rFonts w:ascii="Arial" w:hAnsi="Arial" w:cs="Arial"/>
                <w:szCs w:val="24"/>
              </w:rPr>
              <w:t>.</w:t>
            </w:r>
          </w:p>
          <w:p w:rsidR="000E16F2" w:rsidRPr="007214D1" w:rsidRDefault="000E16F2" w:rsidP="003B3A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8333C" w:rsidRPr="007214D1" w:rsidTr="006F3879">
        <w:tc>
          <w:tcPr>
            <w:tcW w:w="959" w:type="dxa"/>
          </w:tcPr>
          <w:p w:rsidR="00C8333C" w:rsidRPr="00C8333C" w:rsidRDefault="00C8333C" w:rsidP="00416BFF">
            <w:pPr>
              <w:rPr>
                <w:rFonts w:ascii="Arial" w:hAnsi="Arial" w:cs="Arial"/>
                <w:szCs w:val="24"/>
              </w:rPr>
            </w:pPr>
            <w:r w:rsidRPr="00C8333C">
              <w:rPr>
                <w:rFonts w:ascii="Arial" w:hAnsi="Arial" w:cs="Arial"/>
                <w:szCs w:val="24"/>
              </w:rPr>
              <w:lastRenderedPageBreak/>
              <w:t>3.2</w:t>
            </w:r>
          </w:p>
        </w:tc>
        <w:tc>
          <w:tcPr>
            <w:tcW w:w="8505" w:type="dxa"/>
          </w:tcPr>
          <w:p w:rsidR="00C8333C" w:rsidRPr="009C1F2A" w:rsidRDefault="00C8333C" w:rsidP="00C8333C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Attendance management</w:t>
            </w:r>
          </w:p>
          <w:p w:rsidR="00C8333C" w:rsidRDefault="00C8333C" w:rsidP="004742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5F296B" w:rsidRPr="007214D1" w:rsidTr="006F3879">
        <w:tc>
          <w:tcPr>
            <w:tcW w:w="959" w:type="dxa"/>
          </w:tcPr>
          <w:p w:rsidR="005F296B" w:rsidRPr="00C8333C" w:rsidRDefault="005F296B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3.2.1</w:t>
            </w:r>
          </w:p>
        </w:tc>
        <w:tc>
          <w:tcPr>
            <w:tcW w:w="8505" w:type="dxa"/>
          </w:tcPr>
          <w:p w:rsidR="00DF462B" w:rsidRDefault="002E0015" w:rsidP="00DF462B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R</w:t>
            </w:r>
            <w:r w:rsidR="00DF462B" w:rsidRPr="009C1F2A">
              <w:rPr>
                <w:rFonts w:ascii="Arial" w:eastAsia="Calibri" w:hAnsi="Arial" w:cs="Arial"/>
                <w:szCs w:val="24"/>
                <w:lang w:eastAsia="en-US"/>
              </w:rPr>
              <w:t>eports show absence levels split between long-term absence (&gt;10 consecutive working days)</w:t>
            </w:r>
            <w:r w:rsidR="00DF462B">
              <w:rPr>
                <w:rFonts w:ascii="Arial" w:eastAsia="Calibri" w:hAnsi="Arial" w:cs="Arial"/>
                <w:szCs w:val="24"/>
                <w:lang w:eastAsia="en-US"/>
              </w:rPr>
              <w:t xml:space="preserve"> and short-term absence (</w:t>
            </w:r>
            <w:r w:rsidR="00DF462B" w:rsidRPr="009C1F2A">
              <w:rPr>
                <w:rFonts w:ascii="Arial" w:eastAsia="Calibri" w:hAnsi="Arial" w:cs="Arial"/>
                <w:szCs w:val="24"/>
                <w:lang w:eastAsia="en-US"/>
              </w:rPr>
              <w:t>10</w:t>
            </w:r>
            <w:r w:rsidR="00B859CD">
              <w:rPr>
                <w:rFonts w:ascii="Arial" w:eastAsia="Calibri" w:hAnsi="Arial" w:cs="Arial"/>
                <w:szCs w:val="24"/>
                <w:lang w:eastAsia="en-US"/>
              </w:rPr>
              <w:t> </w:t>
            </w:r>
            <w:r w:rsidR="00DF462B" w:rsidRPr="009C1F2A">
              <w:rPr>
                <w:rFonts w:ascii="Arial" w:eastAsia="Calibri" w:hAnsi="Arial" w:cs="Arial"/>
                <w:szCs w:val="24"/>
                <w:lang w:eastAsia="en-US"/>
              </w:rPr>
              <w:t>consecutive working days</w:t>
            </w:r>
            <w:r w:rsidR="00DF462B">
              <w:rPr>
                <w:rFonts w:ascii="Arial" w:eastAsia="Calibri" w:hAnsi="Arial" w:cs="Arial"/>
                <w:szCs w:val="24"/>
                <w:lang w:eastAsia="en-US"/>
              </w:rPr>
              <w:t xml:space="preserve"> or less</w:t>
            </w:r>
            <w:r w:rsidR="00DF462B" w:rsidRPr="009C1F2A">
              <w:rPr>
                <w:rFonts w:ascii="Arial" w:eastAsia="Calibri" w:hAnsi="Arial" w:cs="Arial"/>
                <w:szCs w:val="24"/>
                <w:lang w:eastAsia="en-US"/>
              </w:rPr>
              <w:t>)</w:t>
            </w:r>
            <w:r w:rsidR="00DF462B">
              <w:rPr>
                <w:rFonts w:ascii="Arial" w:eastAsia="Calibri" w:hAnsi="Arial" w:cs="Arial"/>
                <w:szCs w:val="24"/>
                <w:lang w:eastAsia="en-US"/>
              </w:rPr>
              <w:t>.</w:t>
            </w:r>
          </w:p>
          <w:p w:rsidR="005F296B" w:rsidRDefault="005F296B" w:rsidP="002E001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C8333C" w:rsidRPr="007214D1" w:rsidTr="006F3879">
        <w:trPr>
          <w:trHeight w:val="3106"/>
        </w:trPr>
        <w:tc>
          <w:tcPr>
            <w:tcW w:w="959" w:type="dxa"/>
          </w:tcPr>
          <w:p w:rsidR="00C8333C" w:rsidRDefault="00C8333C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</w:t>
            </w:r>
            <w:r w:rsidR="00D44B45">
              <w:rPr>
                <w:rFonts w:ascii="Arial" w:hAnsi="Arial" w:cs="Arial"/>
                <w:szCs w:val="24"/>
              </w:rPr>
              <w:t>2</w:t>
            </w: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Default="005F296B" w:rsidP="00416BFF">
            <w:pPr>
              <w:rPr>
                <w:rFonts w:ascii="Arial" w:hAnsi="Arial" w:cs="Arial"/>
                <w:szCs w:val="24"/>
              </w:rPr>
            </w:pPr>
          </w:p>
          <w:p w:rsidR="005F296B" w:rsidRPr="00C8333C" w:rsidRDefault="005F296B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C8333C" w:rsidRPr="009C1F2A" w:rsidRDefault="00C8333C" w:rsidP="00C8333C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The </w:t>
            </w:r>
            <w:r w:rsidR="00AB5455">
              <w:rPr>
                <w:rFonts w:ascii="Arial" w:eastAsia="Calibri" w:hAnsi="Arial" w:cs="Arial"/>
                <w:szCs w:val="24"/>
                <w:lang w:eastAsia="en-US"/>
              </w:rPr>
              <w:t>l</w:t>
            </w:r>
            <w:r w:rsidR="00D71DD2">
              <w:rPr>
                <w:rFonts w:ascii="Arial" w:eastAsia="Calibri" w:hAnsi="Arial" w:cs="Arial"/>
                <w:szCs w:val="24"/>
                <w:lang w:eastAsia="en-US"/>
              </w:rPr>
              <w:t xml:space="preserve">ong term 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absence </w:t>
            </w:r>
            <w:r w:rsidR="00D71DD2">
              <w:rPr>
                <w:rFonts w:ascii="Arial" w:eastAsia="Calibri" w:hAnsi="Arial" w:cs="Arial"/>
                <w:szCs w:val="24"/>
                <w:lang w:eastAsia="en-US"/>
              </w:rPr>
              <w:t>rates %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 up to the end of Quarter </w:t>
            </w:r>
            <w:r w:rsidR="00841F81">
              <w:rPr>
                <w:rFonts w:ascii="Arial" w:eastAsia="Calibri" w:hAnsi="Arial" w:cs="Arial"/>
                <w:szCs w:val="24"/>
                <w:lang w:eastAsia="en-US"/>
              </w:rPr>
              <w:t>3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 were as follows:</w:t>
            </w:r>
          </w:p>
          <w:p w:rsidR="00C8333C" w:rsidRPr="009C1F2A" w:rsidRDefault="00C8333C" w:rsidP="00C8333C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"/>
              <w:gridCol w:w="1712"/>
              <w:gridCol w:w="1710"/>
              <w:gridCol w:w="1710"/>
              <w:gridCol w:w="1709"/>
            </w:tblGrid>
            <w:tr w:rsidR="004120A6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120A6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 xml:space="preserve">% </w:t>
                  </w:r>
                </w:p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 xml:space="preserve">Long term 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Absence Rates</w:t>
                  </w:r>
                </w:p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1</w:t>
                  </w:r>
                </w:p>
                <w:p w:rsidR="004120A6" w:rsidRPr="009C1F2A" w:rsidRDefault="004120A6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Apr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Jun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2</w:t>
                  </w:r>
                </w:p>
                <w:p w:rsidR="004120A6" w:rsidRPr="009C1F2A" w:rsidRDefault="004120A6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Jul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Sep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3</w:t>
                  </w:r>
                </w:p>
                <w:p w:rsidR="004120A6" w:rsidRPr="009C1F2A" w:rsidRDefault="004120A6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Oct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Dec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4120A6" w:rsidRPr="009C1F2A" w:rsidRDefault="004120A6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4</w:t>
                  </w:r>
                </w:p>
                <w:p w:rsidR="004120A6" w:rsidRPr="009C1F2A" w:rsidRDefault="004120A6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Jan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Mar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</w:tr>
            <w:tr w:rsidR="00C8333C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8333C" w:rsidRPr="009C1F2A" w:rsidRDefault="00C8333C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2016/17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333C" w:rsidRPr="00240268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2.67%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333C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2.41%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8333C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2.12%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8333C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2.38%</w:t>
                  </w:r>
                </w:p>
              </w:tc>
            </w:tr>
            <w:tr w:rsidR="00E1395A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1395A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2017/18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1395A" w:rsidRPr="00240268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2.62%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1395A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2.29%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1395A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2.68%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1395A" w:rsidRPr="009C1F2A" w:rsidRDefault="00E1395A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2.28%</w:t>
                  </w:r>
                </w:p>
              </w:tc>
            </w:tr>
            <w:tr w:rsidR="002E0015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0015" w:rsidRPr="009C1F2A" w:rsidRDefault="002E0015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2018/19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0015" w:rsidRDefault="006B590D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2.12%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0015" w:rsidRDefault="00EB2A4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2.37%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0015" w:rsidRDefault="00E26CEE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2.70%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0015" w:rsidRDefault="000E16F2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-</w:t>
                  </w:r>
                </w:p>
              </w:tc>
            </w:tr>
          </w:tbl>
          <w:p w:rsidR="00E1395A" w:rsidRDefault="00E1395A" w:rsidP="00C8333C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F296B" w:rsidRPr="007214D1" w:rsidTr="001F2FFC">
        <w:trPr>
          <w:trHeight w:val="195"/>
        </w:trPr>
        <w:tc>
          <w:tcPr>
            <w:tcW w:w="959" w:type="dxa"/>
          </w:tcPr>
          <w:p w:rsidR="009B7A20" w:rsidRDefault="009B7A20" w:rsidP="00D44B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383500" w:rsidRPr="005F296B" w:rsidRDefault="00383500" w:rsidP="009B7A20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9B7A20" w:rsidRPr="007214D1" w:rsidTr="006F3879">
        <w:trPr>
          <w:trHeight w:val="770"/>
        </w:trPr>
        <w:tc>
          <w:tcPr>
            <w:tcW w:w="959" w:type="dxa"/>
          </w:tcPr>
          <w:p w:rsidR="009B7A20" w:rsidRDefault="009B7A20" w:rsidP="005F2A1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3.2.3</w:t>
            </w:r>
          </w:p>
        </w:tc>
        <w:tc>
          <w:tcPr>
            <w:tcW w:w="8505" w:type="dxa"/>
          </w:tcPr>
          <w:p w:rsidR="009B7A20" w:rsidRDefault="009B7A20" w:rsidP="009B7A20">
            <w:pPr>
              <w:jc w:val="both"/>
              <w:rPr>
                <w:rFonts w:ascii="Arial" w:hAnsi="Arial" w:cs="Arial"/>
              </w:rPr>
            </w:pPr>
            <w:r w:rsidRPr="005F296B">
              <w:rPr>
                <w:rFonts w:ascii="Arial" w:hAnsi="Arial" w:cs="Arial"/>
              </w:rPr>
              <w:t xml:space="preserve">Quarter </w:t>
            </w:r>
            <w:r w:rsidR="00E26CEE">
              <w:rPr>
                <w:rFonts w:ascii="Arial" w:hAnsi="Arial" w:cs="Arial"/>
              </w:rPr>
              <w:t>3</w:t>
            </w:r>
            <w:r w:rsidRPr="005F296B">
              <w:rPr>
                <w:rFonts w:ascii="Arial" w:hAnsi="Arial" w:cs="Arial"/>
              </w:rPr>
              <w:t xml:space="preserve"> has shown a</w:t>
            </w:r>
            <w:r w:rsidR="00CD2306">
              <w:rPr>
                <w:rFonts w:ascii="Arial" w:hAnsi="Arial" w:cs="Arial"/>
              </w:rPr>
              <w:t>n</w:t>
            </w:r>
            <w:r w:rsidRPr="005F296B">
              <w:rPr>
                <w:rFonts w:ascii="Arial" w:hAnsi="Arial" w:cs="Arial"/>
              </w:rPr>
              <w:t xml:space="preserve"> </w:t>
            </w:r>
            <w:r w:rsidR="00EB2A40">
              <w:rPr>
                <w:rFonts w:ascii="Arial" w:hAnsi="Arial" w:cs="Arial"/>
              </w:rPr>
              <w:t>increase</w:t>
            </w:r>
            <w:r w:rsidRPr="00DD3547">
              <w:rPr>
                <w:rFonts w:ascii="Arial" w:hAnsi="Arial" w:cs="Arial"/>
              </w:rPr>
              <w:t xml:space="preserve"> of </w:t>
            </w:r>
            <w:r w:rsidR="00EB2A40">
              <w:rPr>
                <w:rFonts w:ascii="Arial" w:hAnsi="Arial" w:cs="Arial"/>
              </w:rPr>
              <w:t>0.</w:t>
            </w:r>
            <w:r w:rsidR="00E26CEE">
              <w:rPr>
                <w:rFonts w:ascii="Arial" w:hAnsi="Arial" w:cs="Arial"/>
              </w:rPr>
              <w:t>33</w:t>
            </w:r>
            <w:r w:rsidRPr="00DD3547">
              <w:rPr>
                <w:rFonts w:ascii="Arial" w:hAnsi="Arial" w:cs="Arial"/>
              </w:rPr>
              <w:t>%</w:t>
            </w:r>
            <w:r w:rsidRPr="005F296B">
              <w:rPr>
                <w:rFonts w:ascii="Arial" w:hAnsi="Arial" w:cs="Arial"/>
              </w:rPr>
              <w:t xml:space="preserve"> in the long term absence rate from previous quarter.</w:t>
            </w:r>
          </w:p>
          <w:p w:rsidR="009B7A20" w:rsidRDefault="009B7A20" w:rsidP="009B7A20">
            <w:pPr>
              <w:jc w:val="both"/>
              <w:rPr>
                <w:rFonts w:ascii="Arial" w:hAnsi="Arial" w:cs="Arial"/>
              </w:rPr>
            </w:pPr>
          </w:p>
          <w:p w:rsidR="009B7A20" w:rsidRDefault="009B7A20" w:rsidP="009B7A20">
            <w:pPr>
              <w:jc w:val="both"/>
              <w:rPr>
                <w:rFonts w:ascii="Arial" w:hAnsi="Arial" w:cs="Arial"/>
              </w:rPr>
            </w:pP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There were </w:t>
            </w:r>
            <w:r w:rsidR="00E26CEE" w:rsidRPr="00CD2306">
              <w:rPr>
                <w:rFonts w:ascii="Arial" w:eastAsia="Calibri" w:hAnsi="Arial" w:cs="Arial"/>
                <w:szCs w:val="24"/>
                <w:lang w:eastAsia="en-US"/>
              </w:rPr>
              <w:t>31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 long-term absences </w:t>
            </w:r>
            <w:r w:rsidR="00F60031">
              <w:rPr>
                <w:rFonts w:ascii="Arial" w:eastAsia="Calibri" w:hAnsi="Arial" w:cs="Arial"/>
                <w:szCs w:val="24"/>
                <w:lang w:eastAsia="en-US"/>
              </w:rPr>
              <w:t>with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in the quarter of which </w:t>
            </w:r>
            <w:r w:rsidR="003A7DB0">
              <w:rPr>
                <w:rFonts w:ascii="Arial" w:eastAsia="Calibri" w:hAnsi="Arial" w:cs="Arial"/>
                <w:szCs w:val="24"/>
                <w:lang w:eastAsia="en-US"/>
              </w:rPr>
              <w:t>eight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 remained absent at the start of Q</w:t>
            </w:r>
            <w:r w:rsidR="00E26CEE" w:rsidRPr="00CD2306">
              <w:rPr>
                <w:rFonts w:ascii="Arial" w:eastAsia="Calibri" w:hAnsi="Arial" w:cs="Arial"/>
                <w:szCs w:val="24"/>
                <w:lang w:eastAsia="en-US"/>
              </w:rPr>
              <w:t>4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 2018/19. Of </w:t>
            </w:r>
            <w:r w:rsidR="009E5EB5" w:rsidRPr="00CD2306">
              <w:rPr>
                <w:rFonts w:ascii="Arial" w:eastAsia="Calibri" w:hAnsi="Arial" w:cs="Arial"/>
                <w:szCs w:val="24"/>
                <w:lang w:eastAsia="en-US"/>
              </w:rPr>
              <w:t>those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r w:rsidR="003A7DB0">
              <w:rPr>
                <w:rFonts w:ascii="Arial" w:eastAsia="Calibri" w:hAnsi="Arial" w:cs="Arial"/>
                <w:szCs w:val="24"/>
                <w:lang w:eastAsia="en-US"/>
              </w:rPr>
              <w:t>eight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, a further </w:t>
            </w:r>
            <w:r w:rsidR="003A7DB0">
              <w:rPr>
                <w:rFonts w:ascii="Arial" w:eastAsia="Calibri" w:hAnsi="Arial" w:cs="Arial"/>
                <w:szCs w:val="24"/>
                <w:lang w:eastAsia="en-US"/>
              </w:rPr>
              <w:t>four</w:t>
            </w:r>
            <w:r w:rsidR="005F2A13" w:rsidRPr="00CD2306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r w:rsidR="00F60031">
              <w:rPr>
                <w:rFonts w:ascii="Arial" w:eastAsia="Calibri" w:hAnsi="Arial" w:cs="Arial"/>
                <w:szCs w:val="24"/>
                <w:lang w:eastAsia="en-US"/>
              </w:rPr>
              <w:t>have returned to work during Q4</w:t>
            </w:r>
            <w:r w:rsidRPr="00CD2306">
              <w:rPr>
                <w:rFonts w:ascii="Arial" w:eastAsia="Calibri" w:hAnsi="Arial" w:cs="Arial"/>
                <w:szCs w:val="24"/>
                <w:lang w:eastAsia="en-US"/>
              </w:rPr>
              <w:t>.</w:t>
            </w:r>
          </w:p>
          <w:p w:rsidR="009B7A20" w:rsidRPr="005F296B" w:rsidRDefault="009B7A20" w:rsidP="00C8333C">
            <w:pPr>
              <w:jc w:val="both"/>
              <w:rPr>
                <w:rFonts w:ascii="Arial" w:hAnsi="Arial" w:cs="Arial"/>
              </w:rPr>
            </w:pPr>
          </w:p>
        </w:tc>
      </w:tr>
      <w:tr w:rsidR="009B7A20" w:rsidRPr="007214D1" w:rsidTr="006F3879">
        <w:trPr>
          <w:trHeight w:val="3204"/>
        </w:trPr>
        <w:tc>
          <w:tcPr>
            <w:tcW w:w="959" w:type="dxa"/>
          </w:tcPr>
          <w:p w:rsidR="009B7A20" w:rsidRDefault="009B7A20" w:rsidP="00D44B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3.2.4</w:t>
            </w:r>
          </w:p>
        </w:tc>
        <w:tc>
          <w:tcPr>
            <w:tcW w:w="8505" w:type="dxa"/>
          </w:tcPr>
          <w:p w:rsidR="009B7A20" w:rsidRDefault="009B7A20" w:rsidP="00C8333C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The short term absence rates % up to the end of Quarter </w:t>
            </w:r>
            <w:r w:rsidR="00841F81">
              <w:rPr>
                <w:rFonts w:ascii="Arial" w:eastAsia="Calibri" w:hAnsi="Arial" w:cs="Arial"/>
                <w:szCs w:val="24"/>
                <w:lang w:eastAsia="en-US"/>
              </w:rPr>
              <w:t>3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 were as follows:</w:t>
            </w:r>
          </w:p>
          <w:p w:rsidR="009B7A20" w:rsidRDefault="009B7A20" w:rsidP="00C8333C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"/>
              <w:gridCol w:w="1712"/>
              <w:gridCol w:w="1710"/>
              <w:gridCol w:w="1710"/>
              <w:gridCol w:w="1709"/>
            </w:tblGrid>
            <w:tr w:rsidR="009B7A20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 xml:space="preserve">% </w:t>
                  </w: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 xml:space="preserve">Short term 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Absence Rates</w:t>
                  </w: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1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Apr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Jun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2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Jul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Sep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3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Oct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Dec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4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Jan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Mar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</w:tr>
            <w:tr w:rsidR="009B7A20" w:rsidRPr="009C1F2A" w:rsidTr="00D71DD2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2016/17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240268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0.92%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E1395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0.68%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0.90%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1.45%</w:t>
                  </w:r>
                </w:p>
              </w:tc>
            </w:tr>
            <w:tr w:rsidR="009B7A20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2017/18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0.98%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1.06%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1.31%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1.74%</w:t>
                  </w:r>
                </w:p>
              </w:tc>
            </w:tr>
            <w:tr w:rsidR="009B7A20" w:rsidRPr="009C1F2A" w:rsidTr="005F2A1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2018/19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Default="006B590D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0.99%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Default="00EB2A4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0.99%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Default="00E26CEE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1.32%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Default="000E16F2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-</w:t>
                  </w:r>
                </w:p>
              </w:tc>
            </w:tr>
          </w:tbl>
          <w:p w:rsidR="009B7A20" w:rsidRPr="009C1F2A" w:rsidRDefault="009B7A20" w:rsidP="00C8333C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9B7A20" w:rsidRPr="007214D1" w:rsidTr="006F3879">
        <w:tc>
          <w:tcPr>
            <w:tcW w:w="959" w:type="dxa"/>
          </w:tcPr>
          <w:p w:rsidR="001C380A" w:rsidRDefault="001C380A" w:rsidP="00D44B45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D44B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3.2.5</w:t>
            </w:r>
          </w:p>
        </w:tc>
        <w:tc>
          <w:tcPr>
            <w:tcW w:w="8505" w:type="dxa"/>
          </w:tcPr>
          <w:p w:rsidR="001C380A" w:rsidRDefault="001C380A" w:rsidP="005F296B">
            <w:pPr>
              <w:jc w:val="both"/>
              <w:rPr>
                <w:rFonts w:ascii="Arial" w:hAnsi="Arial" w:cs="Arial"/>
              </w:rPr>
            </w:pPr>
          </w:p>
          <w:p w:rsidR="009B7A20" w:rsidRDefault="009B7A20" w:rsidP="005F296B">
            <w:pPr>
              <w:jc w:val="both"/>
              <w:rPr>
                <w:rFonts w:ascii="Arial" w:hAnsi="Arial" w:cs="Arial"/>
              </w:rPr>
            </w:pPr>
            <w:r w:rsidRPr="005F296B">
              <w:rPr>
                <w:rFonts w:ascii="Arial" w:hAnsi="Arial" w:cs="Arial"/>
              </w:rPr>
              <w:t xml:space="preserve">Quarter </w:t>
            </w:r>
            <w:r w:rsidR="00841F81">
              <w:rPr>
                <w:rFonts w:ascii="Arial" w:hAnsi="Arial" w:cs="Arial"/>
              </w:rPr>
              <w:t>3</w:t>
            </w:r>
            <w:r w:rsidRPr="005F296B">
              <w:rPr>
                <w:rFonts w:ascii="Arial" w:hAnsi="Arial" w:cs="Arial"/>
              </w:rPr>
              <w:t xml:space="preserve"> has shown </w:t>
            </w:r>
            <w:r w:rsidR="00841F81">
              <w:rPr>
                <w:rFonts w:ascii="Arial" w:hAnsi="Arial" w:cs="Arial"/>
              </w:rPr>
              <w:t>a</w:t>
            </w:r>
            <w:r w:rsidR="00CD2306">
              <w:rPr>
                <w:rFonts w:ascii="Arial" w:hAnsi="Arial" w:cs="Arial"/>
              </w:rPr>
              <w:t>n</w:t>
            </w:r>
            <w:r w:rsidR="00841F81">
              <w:rPr>
                <w:rFonts w:ascii="Arial" w:hAnsi="Arial" w:cs="Arial"/>
              </w:rPr>
              <w:t xml:space="preserve"> increase of 0.33% </w:t>
            </w:r>
            <w:r w:rsidRPr="005F296B">
              <w:rPr>
                <w:rFonts w:ascii="Arial" w:hAnsi="Arial" w:cs="Arial"/>
              </w:rPr>
              <w:t xml:space="preserve">in the </w:t>
            </w:r>
            <w:r>
              <w:rPr>
                <w:rFonts w:ascii="Arial" w:hAnsi="Arial" w:cs="Arial"/>
              </w:rPr>
              <w:t>short</w:t>
            </w:r>
            <w:r w:rsidRPr="005F296B">
              <w:rPr>
                <w:rFonts w:ascii="Arial" w:hAnsi="Arial" w:cs="Arial"/>
              </w:rPr>
              <w:t xml:space="preserve"> term absence rate from previous quarter.</w:t>
            </w:r>
          </w:p>
          <w:p w:rsidR="009B7A20" w:rsidRDefault="009B7A20" w:rsidP="005F296B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9B7A20" w:rsidRPr="007214D1" w:rsidTr="00021173">
        <w:tc>
          <w:tcPr>
            <w:tcW w:w="959" w:type="dxa"/>
          </w:tcPr>
          <w:p w:rsidR="009B7A20" w:rsidRDefault="009B7A20" w:rsidP="00D44B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3.2.6</w:t>
            </w:r>
          </w:p>
        </w:tc>
        <w:tc>
          <w:tcPr>
            <w:tcW w:w="8505" w:type="dxa"/>
          </w:tcPr>
          <w:p w:rsidR="009B7A20" w:rsidRDefault="002C6BFA" w:rsidP="00D44B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Taking into account the increase in long </w:t>
            </w:r>
            <w:r w:rsidR="00841F81">
              <w:rPr>
                <w:rFonts w:ascii="Arial" w:hAnsi="Arial" w:cs="Arial"/>
              </w:rPr>
              <w:t xml:space="preserve">and short </w:t>
            </w:r>
            <w:r>
              <w:rPr>
                <w:rFonts w:ascii="Arial" w:hAnsi="Arial" w:cs="Arial"/>
              </w:rPr>
              <w:t xml:space="preserve">term absences the overall absence rate in Quarter </w:t>
            </w:r>
            <w:r w:rsidR="00841F8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shows an increase of </w:t>
            </w:r>
            <w:r w:rsidR="00841F81">
              <w:rPr>
                <w:rFonts w:ascii="Arial" w:hAnsi="Arial" w:cs="Arial"/>
              </w:rPr>
              <w:t>0.66</w:t>
            </w:r>
            <w:r>
              <w:rPr>
                <w:rFonts w:ascii="Arial" w:hAnsi="Arial" w:cs="Arial"/>
              </w:rPr>
              <w:t>%</w:t>
            </w:r>
            <w:r w:rsidR="009B7A20">
              <w:rPr>
                <w:rFonts w:ascii="Arial" w:hAnsi="Arial" w:cs="Arial"/>
              </w:rPr>
              <w:t xml:space="preserve"> from the previous quarter.</w:t>
            </w:r>
          </w:p>
          <w:p w:rsidR="009B7A20" w:rsidRPr="005F296B" w:rsidRDefault="009B7A20" w:rsidP="00D44B45">
            <w:pPr>
              <w:jc w:val="both"/>
              <w:rPr>
                <w:rFonts w:ascii="Arial" w:hAnsi="Arial" w:cs="Arial"/>
              </w:rPr>
            </w:pPr>
          </w:p>
        </w:tc>
      </w:tr>
      <w:tr w:rsidR="009B7A20" w:rsidRPr="007214D1" w:rsidTr="00021173">
        <w:tc>
          <w:tcPr>
            <w:tcW w:w="959" w:type="dxa"/>
          </w:tcPr>
          <w:p w:rsidR="009B7A20" w:rsidRDefault="009B7A20" w:rsidP="00D44B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3.2.7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1C380A" w:rsidRPr="009C1F2A" w:rsidRDefault="009B7A20" w:rsidP="00841F81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The average sick days per employee up to the end of Quarter </w:t>
            </w:r>
            <w:r w:rsidR="00841F81">
              <w:rPr>
                <w:rFonts w:ascii="Arial" w:eastAsia="Calibri" w:hAnsi="Arial" w:cs="Arial"/>
                <w:szCs w:val="24"/>
                <w:lang w:eastAsia="en-US"/>
              </w:rPr>
              <w:t>3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 were as follows:</w:t>
            </w:r>
          </w:p>
        </w:tc>
      </w:tr>
      <w:tr w:rsidR="009B7A20" w:rsidRPr="007214D1" w:rsidTr="00021173">
        <w:trPr>
          <w:trHeight w:val="2979"/>
        </w:trPr>
        <w:tc>
          <w:tcPr>
            <w:tcW w:w="959" w:type="dxa"/>
          </w:tcPr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"/>
              <w:gridCol w:w="1712"/>
              <w:gridCol w:w="1710"/>
              <w:gridCol w:w="1710"/>
              <w:gridCol w:w="1709"/>
            </w:tblGrid>
            <w:tr w:rsidR="009B7A20" w:rsidRPr="009C1F2A" w:rsidTr="00021173"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Default="009B7A20" w:rsidP="00E1395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Average sick days per employee</w:t>
                  </w:r>
                </w:p>
                <w:p w:rsidR="009B7A20" w:rsidRPr="009C1F2A" w:rsidRDefault="009B7A20" w:rsidP="00E1395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1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Apr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Jun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2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Jul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Sep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3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Oct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Dec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</w:p>
                <w:p w:rsidR="009B7A20" w:rsidRPr="009C1F2A" w:rsidRDefault="009B7A20" w:rsidP="005F2A13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Quarter 4</w:t>
                  </w:r>
                </w:p>
                <w:p w:rsidR="009B7A20" w:rsidRPr="009C1F2A" w:rsidRDefault="009B7A20" w:rsidP="00B859CD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(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Jan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–</w:t>
                  </w: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Mar</w:t>
                  </w: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)</w:t>
                  </w:r>
                </w:p>
              </w:tc>
            </w:tr>
            <w:tr w:rsidR="009B7A20" w:rsidRPr="009C1F2A" w:rsidTr="004120A6">
              <w:trPr>
                <w:trHeight w:val="288"/>
              </w:trPr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2016/17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B7A20" w:rsidRPr="00240268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240268">
                    <w:rPr>
                      <w:rFonts w:ascii="Arial" w:eastAsia="Calibri" w:hAnsi="Arial" w:cs="Arial"/>
                      <w:szCs w:val="24"/>
                    </w:rPr>
                    <w:t>2.30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szCs w:val="24"/>
                    </w:rPr>
                    <w:t>2.04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szCs w:val="24"/>
                    </w:rPr>
                    <w:t>1.96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szCs w:val="24"/>
                    </w:rPr>
                    <w:t>2.49</w:t>
                  </w:r>
                </w:p>
              </w:tc>
            </w:tr>
            <w:tr w:rsidR="009B7A20" w:rsidRPr="009C1F2A" w:rsidTr="004120A6">
              <w:trPr>
                <w:trHeight w:val="288"/>
              </w:trPr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2017/18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szCs w:val="24"/>
                    </w:rPr>
                    <w:t>2.30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szCs w:val="24"/>
                    </w:rPr>
                    <w:t>2.17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 w:rsidRPr="009C1F2A">
                    <w:rPr>
                      <w:rFonts w:ascii="Arial" w:eastAsia="Calibri" w:hAnsi="Arial" w:cs="Arial"/>
                      <w:szCs w:val="24"/>
                    </w:rPr>
                    <w:t>2.39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2.53</w:t>
                  </w:r>
                </w:p>
              </w:tc>
            </w:tr>
            <w:tr w:rsidR="009B7A20" w:rsidRPr="009C1F2A" w:rsidTr="004120A6">
              <w:trPr>
                <w:trHeight w:val="288"/>
              </w:trPr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9B7A2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2018/19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6B590D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2.02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EB2A40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2.18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Pr="009C1F2A" w:rsidRDefault="00841F81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2.45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7A20" w:rsidRDefault="000E16F2" w:rsidP="004120A6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Cs w:val="24"/>
                    </w:rPr>
                    <w:t>-</w:t>
                  </w:r>
                </w:p>
              </w:tc>
            </w:tr>
          </w:tbl>
          <w:p w:rsidR="009B7A20" w:rsidRPr="009C1F2A" w:rsidRDefault="009B7A20" w:rsidP="00C8333C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9B7A20" w:rsidRPr="007214D1" w:rsidTr="006F3879">
        <w:trPr>
          <w:trHeight w:val="426"/>
        </w:trPr>
        <w:tc>
          <w:tcPr>
            <w:tcW w:w="959" w:type="dxa"/>
          </w:tcPr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3.2.8</w:t>
            </w: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9B7A20" w:rsidRDefault="009B7A20" w:rsidP="00D44B45">
            <w:pPr>
              <w:spacing w:line="276" w:lineRule="auto"/>
              <w:rPr>
                <w:rFonts w:ascii="Arial" w:eastAsia="Calibri" w:hAnsi="Arial" w:cs="Arial"/>
                <w:bCs/>
                <w:szCs w:val="24"/>
              </w:rPr>
            </w:pPr>
            <w:r>
              <w:rPr>
                <w:rFonts w:ascii="Arial" w:eastAsia="Calibri" w:hAnsi="Arial" w:cs="Arial"/>
                <w:bCs/>
                <w:szCs w:val="24"/>
              </w:rPr>
              <w:t>The average sick days/FTE</w:t>
            </w:r>
            <w:r w:rsidRPr="00D44B45">
              <w:rPr>
                <w:rFonts w:ascii="Arial" w:eastAsia="Calibri" w:hAnsi="Arial" w:cs="Arial"/>
                <w:bCs/>
                <w:szCs w:val="24"/>
              </w:rPr>
              <w:t xml:space="preserve"> per employee has shown a</w:t>
            </w:r>
            <w:r w:rsidR="00841F81">
              <w:rPr>
                <w:rFonts w:ascii="Arial" w:eastAsia="Calibri" w:hAnsi="Arial" w:cs="Arial"/>
                <w:bCs/>
                <w:szCs w:val="24"/>
              </w:rPr>
              <w:t>n</w:t>
            </w:r>
            <w:r w:rsidR="006B590D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="00EB2A40">
              <w:rPr>
                <w:rFonts w:ascii="Arial" w:eastAsia="Calibri" w:hAnsi="Arial" w:cs="Arial"/>
                <w:bCs/>
                <w:szCs w:val="24"/>
              </w:rPr>
              <w:t>increas</w:t>
            </w:r>
            <w:r w:rsidR="006B590D">
              <w:rPr>
                <w:rFonts w:ascii="Arial" w:eastAsia="Calibri" w:hAnsi="Arial" w:cs="Arial"/>
                <w:bCs/>
                <w:szCs w:val="24"/>
              </w:rPr>
              <w:t>e</w:t>
            </w:r>
            <w:r w:rsidRPr="00D44B45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Pr="006B590D">
              <w:rPr>
                <w:rFonts w:ascii="Arial" w:eastAsia="Calibri" w:hAnsi="Arial" w:cs="Arial"/>
                <w:bCs/>
                <w:szCs w:val="24"/>
              </w:rPr>
              <w:t xml:space="preserve">of </w:t>
            </w:r>
            <w:r w:rsidR="00EB2A40">
              <w:rPr>
                <w:rFonts w:ascii="Arial" w:eastAsia="Calibri" w:hAnsi="Arial" w:cs="Arial"/>
                <w:bCs/>
                <w:szCs w:val="24"/>
              </w:rPr>
              <w:t>0.</w:t>
            </w:r>
            <w:r w:rsidR="00841F81">
              <w:rPr>
                <w:rFonts w:ascii="Arial" w:eastAsia="Calibri" w:hAnsi="Arial" w:cs="Arial"/>
                <w:bCs/>
                <w:szCs w:val="24"/>
              </w:rPr>
              <w:t>27</w:t>
            </w:r>
            <w:r w:rsidRPr="00D44B45">
              <w:rPr>
                <w:rFonts w:ascii="Arial" w:eastAsia="Calibri" w:hAnsi="Arial" w:cs="Arial"/>
                <w:bCs/>
                <w:szCs w:val="24"/>
              </w:rPr>
              <w:t xml:space="preserve"> days from the previous quarter</w:t>
            </w:r>
            <w:r>
              <w:rPr>
                <w:rFonts w:ascii="Arial" w:eastAsia="Calibri" w:hAnsi="Arial" w:cs="Arial"/>
                <w:bCs/>
                <w:szCs w:val="24"/>
              </w:rPr>
              <w:t>.</w:t>
            </w:r>
          </w:p>
          <w:p w:rsidR="009B7A20" w:rsidRPr="00D44B45" w:rsidRDefault="009B7A20" w:rsidP="00D44B45">
            <w:pPr>
              <w:spacing w:line="276" w:lineRule="auto"/>
              <w:rPr>
                <w:rFonts w:ascii="Arial" w:eastAsia="Calibri" w:hAnsi="Arial" w:cs="Arial"/>
                <w:bCs/>
                <w:szCs w:val="24"/>
              </w:rPr>
            </w:pPr>
          </w:p>
        </w:tc>
      </w:tr>
      <w:tr w:rsidR="00E42F84" w:rsidRPr="007214D1" w:rsidTr="006F3879">
        <w:trPr>
          <w:trHeight w:val="426"/>
        </w:trPr>
        <w:tc>
          <w:tcPr>
            <w:tcW w:w="959" w:type="dxa"/>
          </w:tcPr>
          <w:p w:rsidR="00E42F84" w:rsidRDefault="00E42F84" w:rsidP="00E42F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3.2.9</w:t>
            </w:r>
          </w:p>
          <w:p w:rsidR="00E42F84" w:rsidRDefault="00E42F84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E42F84" w:rsidRDefault="00E42F84" w:rsidP="00E42F84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With the support of HR, individual line managers identify 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attendance management issues 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which 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>may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 require support and assistance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 through measures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 such as referral to occupational health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, 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>counselling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>, in-situ support/confidante</w:t>
            </w:r>
            <w:r w:rsidRPr="009C1F2A">
              <w:rPr>
                <w:rFonts w:ascii="Arial" w:eastAsia="Calibri" w:hAnsi="Arial" w:cs="Arial"/>
                <w:szCs w:val="24"/>
                <w:lang w:eastAsia="en-US"/>
              </w:rPr>
              <w:t xml:space="preserve">. </w:t>
            </w:r>
          </w:p>
          <w:p w:rsidR="00E42F84" w:rsidRDefault="00E42F84" w:rsidP="00D44B45">
            <w:pPr>
              <w:spacing w:line="276" w:lineRule="auto"/>
              <w:rPr>
                <w:rFonts w:ascii="Arial" w:eastAsia="Calibri" w:hAnsi="Arial" w:cs="Arial"/>
                <w:bCs/>
                <w:szCs w:val="24"/>
              </w:rPr>
            </w:pPr>
          </w:p>
        </w:tc>
      </w:tr>
      <w:tr w:rsidR="009B7A20" w:rsidRPr="007214D1" w:rsidTr="006F3879">
        <w:trPr>
          <w:trHeight w:val="80"/>
        </w:trPr>
        <w:tc>
          <w:tcPr>
            <w:tcW w:w="959" w:type="dxa"/>
          </w:tcPr>
          <w:p w:rsidR="009B7A20" w:rsidRPr="003E159A" w:rsidRDefault="00F370F9" w:rsidP="00DD3B83">
            <w:pPr>
              <w:rPr>
                <w:rFonts w:ascii="Arial" w:hAnsi="Arial" w:cs="Arial"/>
                <w:szCs w:val="24"/>
              </w:rPr>
            </w:pPr>
            <w:r w:rsidRPr="003E159A"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5" w:type="dxa"/>
          </w:tcPr>
          <w:p w:rsidR="009B7A20" w:rsidRPr="003E159A" w:rsidRDefault="009B7A20" w:rsidP="00E75F39">
            <w:pPr>
              <w:jc w:val="both"/>
              <w:rPr>
                <w:rFonts w:ascii="Arial" w:eastAsia="Calibri" w:hAnsi="Arial" w:cs="Arial"/>
                <w:szCs w:val="24"/>
                <w:u w:val="single"/>
                <w:lang w:eastAsia="en-US"/>
              </w:rPr>
            </w:pPr>
            <w:r w:rsidRPr="003E159A">
              <w:rPr>
                <w:rFonts w:ascii="Arial" w:eastAsia="Calibri" w:hAnsi="Arial" w:cs="Arial"/>
                <w:szCs w:val="24"/>
                <w:u w:val="single"/>
                <w:lang w:eastAsia="en-US"/>
              </w:rPr>
              <w:t>Staff Turnover</w:t>
            </w:r>
          </w:p>
          <w:p w:rsidR="009B7A20" w:rsidRPr="003E159A" w:rsidRDefault="009B7A20" w:rsidP="009B7A20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  <w:p w:rsidR="009B7A20" w:rsidRPr="003E159A" w:rsidRDefault="009B7A20" w:rsidP="009B7A20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3E159A">
              <w:rPr>
                <w:rFonts w:ascii="Arial" w:eastAsia="Calibri" w:hAnsi="Arial" w:cs="Arial"/>
                <w:szCs w:val="24"/>
              </w:rPr>
              <w:t xml:space="preserve">Resignations in Quarter </w:t>
            </w:r>
            <w:r w:rsidR="00841F81" w:rsidRPr="003E159A">
              <w:rPr>
                <w:rFonts w:ascii="Arial" w:eastAsia="Calibri" w:hAnsi="Arial" w:cs="Arial"/>
                <w:szCs w:val="24"/>
              </w:rPr>
              <w:t>3</w:t>
            </w:r>
            <w:r w:rsidRPr="003E159A">
              <w:rPr>
                <w:rFonts w:ascii="Arial" w:eastAsia="Calibri" w:hAnsi="Arial" w:cs="Arial"/>
                <w:szCs w:val="24"/>
              </w:rPr>
              <w:t xml:space="preserve"> as a percentage of the number of posts and resignations have been consistent with previous years with an average turnover of </w:t>
            </w:r>
            <w:r w:rsidR="009D6FD0" w:rsidRPr="003E159A">
              <w:rPr>
                <w:rFonts w:ascii="Arial" w:eastAsia="Calibri" w:hAnsi="Arial" w:cs="Arial"/>
                <w:szCs w:val="24"/>
              </w:rPr>
              <w:t>0.</w:t>
            </w:r>
            <w:r w:rsidR="003E159A" w:rsidRPr="003E159A">
              <w:rPr>
                <w:rFonts w:ascii="Arial" w:eastAsia="Calibri" w:hAnsi="Arial" w:cs="Arial"/>
                <w:szCs w:val="24"/>
              </w:rPr>
              <w:t>45</w:t>
            </w:r>
            <w:r w:rsidRPr="003E159A">
              <w:rPr>
                <w:rFonts w:ascii="Arial" w:eastAsia="Calibri" w:hAnsi="Arial" w:cs="Arial"/>
                <w:szCs w:val="24"/>
              </w:rPr>
              <w:t xml:space="preserve">% equating to an average of </w:t>
            </w:r>
            <w:r w:rsidR="003E159A">
              <w:rPr>
                <w:rFonts w:ascii="Arial" w:eastAsia="Calibri" w:hAnsi="Arial" w:cs="Arial"/>
                <w:szCs w:val="24"/>
              </w:rPr>
              <w:t>six</w:t>
            </w:r>
            <w:r w:rsidR="005F2A13" w:rsidRPr="003E159A">
              <w:rPr>
                <w:rFonts w:ascii="Arial" w:eastAsia="Calibri" w:hAnsi="Arial" w:cs="Arial"/>
                <w:szCs w:val="24"/>
              </w:rPr>
              <w:t xml:space="preserve"> </w:t>
            </w:r>
            <w:r w:rsidRPr="003E159A">
              <w:rPr>
                <w:rFonts w:ascii="Arial" w:eastAsia="Calibri" w:hAnsi="Arial" w:cs="Arial"/>
                <w:szCs w:val="24"/>
              </w:rPr>
              <w:t>resignations a month.</w:t>
            </w:r>
            <w:r w:rsidR="00413B84" w:rsidRPr="003E159A">
              <w:rPr>
                <w:rFonts w:ascii="Arial" w:eastAsia="Calibri" w:hAnsi="Arial" w:cs="Arial"/>
                <w:szCs w:val="24"/>
              </w:rPr>
              <w:t xml:space="preserve"> </w:t>
            </w:r>
            <w:r w:rsidR="00413B84" w:rsidRPr="00F60031">
              <w:rPr>
                <w:rFonts w:ascii="Arial" w:eastAsia="Calibri" w:hAnsi="Arial" w:cs="Arial"/>
                <w:szCs w:val="24"/>
              </w:rPr>
              <w:t>Staff turnover remains in a ‘</w:t>
            </w:r>
            <w:r w:rsidR="00413B84" w:rsidRPr="00F60031">
              <w:rPr>
                <w:rFonts w:ascii="Arial" w:eastAsia="Calibri" w:hAnsi="Arial" w:cs="Arial"/>
                <w:b/>
                <w:szCs w:val="24"/>
              </w:rPr>
              <w:t>green</w:t>
            </w:r>
            <w:r w:rsidR="00413B84" w:rsidRPr="00F60031">
              <w:rPr>
                <w:rFonts w:ascii="Arial" w:eastAsia="Calibri" w:hAnsi="Arial" w:cs="Arial"/>
                <w:szCs w:val="24"/>
              </w:rPr>
              <w:t>’ RAG-rated status in terms of the Charity’s perfor</w:t>
            </w:r>
            <w:r w:rsidR="00897566" w:rsidRPr="00F60031">
              <w:rPr>
                <w:rFonts w:ascii="Arial" w:eastAsia="Calibri" w:hAnsi="Arial" w:cs="Arial"/>
                <w:szCs w:val="24"/>
              </w:rPr>
              <w:t>m</w:t>
            </w:r>
            <w:r w:rsidR="00413B84" w:rsidRPr="00F60031">
              <w:rPr>
                <w:rFonts w:ascii="Arial" w:eastAsia="Calibri" w:hAnsi="Arial" w:cs="Arial"/>
                <w:szCs w:val="24"/>
              </w:rPr>
              <w:t xml:space="preserve">ance reporting and therefore does not present any </w:t>
            </w:r>
            <w:r w:rsidR="00A34C35" w:rsidRPr="00F60031">
              <w:rPr>
                <w:rFonts w:ascii="Arial" w:eastAsia="Calibri" w:hAnsi="Arial" w:cs="Arial"/>
                <w:szCs w:val="24"/>
              </w:rPr>
              <w:t xml:space="preserve">current ongoing </w:t>
            </w:r>
            <w:r w:rsidR="00413B84" w:rsidRPr="00F60031">
              <w:rPr>
                <w:rFonts w:ascii="Arial" w:eastAsia="Calibri" w:hAnsi="Arial" w:cs="Arial"/>
                <w:szCs w:val="24"/>
              </w:rPr>
              <w:t>concerns for HLH.</w:t>
            </w:r>
          </w:p>
          <w:p w:rsidR="009B7A20" w:rsidRPr="003E159A" w:rsidRDefault="009B7A20" w:rsidP="009B7A20">
            <w:pPr>
              <w:jc w:val="both"/>
              <w:rPr>
                <w:rFonts w:ascii="Arial" w:eastAsia="Calibri" w:hAnsi="Arial" w:cs="Arial"/>
                <w:szCs w:val="24"/>
                <w:u w:val="single"/>
                <w:lang w:eastAsia="en-US"/>
              </w:rPr>
            </w:pPr>
          </w:p>
        </w:tc>
      </w:tr>
      <w:tr w:rsidR="009B7A20" w:rsidRPr="007214D1" w:rsidTr="006F3879">
        <w:trPr>
          <w:trHeight w:val="80"/>
        </w:trPr>
        <w:tc>
          <w:tcPr>
            <w:tcW w:w="959" w:type="dxa"/>
          </w:tcPr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4</w:t>
            </w: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1C380A" w:rsidRDefault="001C380A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3E159A" w:rsidRDefault="003E159A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5</w:t>
            </w: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DD3B8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5" w:type="dxa"/>
          </w:tcPr>
          <w:p w:rsidR="009B7A20" w:rsidRPr="009C1F2A" w:rsidRDefault="009B7A20" w:rsidP="00D44B45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9C1F2A">
              <w:rPr>
                <w:rFonts w:ascii="Arial" w:hAnsi="Arial" w:cs="Arial"/>
                <w:szCs w:val="24"/>
                <w:u w:val="single"/>
              </w:rPr>
              <w:t>Discipline</w:t>
            </w:r>
          </w:p>
          <w:p w:rsidR="009B7A20" w:rsidRPr="009C1F2A" w:rsidRDefault="009B7A20" w:rsidP="00D44B45">
            <w:pPr>
              <w:jc w:val="both"/>
              <w:rPr>
                <w:rFonts w:ascii="Arial" w:hAnsi="Arial" w:cs="Arial"/>
                <w:szCs w:val="24"/>
              </w:rPr>
            </w:pPr>
          </w:p>
          <w:p w:rsidR="009B7A20" w:rsidRPr="007B5E32" w:rsidRDefault="009B7A20" w:rsidP="00D44B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</w:t>
            </w:r>
            <w:r w:rsidR="003E159A">
              <w:rPr>
                <w:rFonts w:ascii="Arial" w:hAnsi="Arial" w:cs="Arial"/>
              </w:rPr>
              <w:t>was</w:t>
            </w:r>
            <w:r>
              <w:rPr>
                <w:rFonts w:ascii="Arial" w:hAnsi="Arial" w:cs="Arial"/>
              </w:rPr>
              <w:t xml:space="preserve"> </w:t>
            </w:r>
            <w:r w:rsidR="003E159A">
              <w:rPr>
                <w:rFonts w:ascii="Arial" w:hAnsi="Arial" w:cs="Arial"/>
              </w:rPr>
              <w:t>one</w:t>
            </w:r>
            <w:r w:rsidR="005F2A13" w:rsidRPr="009C1F2A">
              <w:rPr>
                <w:rFonts w:ascii="Arial" w:hAnsi="Arial" w:cs="Arial"/>
              </w:rPr>
              <w:t xml:space="preserve"> </w:t>
            </w:r>
            <w:r w:rsidR="003E159A">
              <w:rPr>
                <w:rFonts w:ascii="Arial" w:hAnsi="Arial" w:cs="Arial"/>
              </w:rPr>
              <w:t xml:space="preserve">new </w:t>
            </w:r>
            <w:r w:rsidRPr="009C1F2A">
              <w:rPr>
                <w:rFonts w:ascii="Arial" w:hAnsi="Arial" w:cs="Arial"/>
              </w:rPr>
              <w:t>issue considered under the charity’s disciplinary process in Q</w:t>
            </w:r>
            <w:r w:rsidR="00841F81">
              <w:rPr>
                <w:rFonts w:ascii="Arial" w:hAnsi="Arial" w:cs="Arial"/>
              </w:rPr>
              <w:t>3</w:t>
            </w:r>
            <w:r w:rsidRPr="009C1F2A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9C1F2A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9</w:t>
            </w:r>
            <w:r w:rsidRPr="009C1F2A">
              <w:rPr>
                <w:rFonts w:ascii="Arial" w:hAnsi="Arial" w:cs="Arial"/>
              </w:rPr>
              <w:t xml:space="preserve">, </w:t>
            </w:r>
            <w:r w:rsidR="002A57F2">
              <w:rPr>
                <w:rFonts w:ascii="Arial" w:hAnsi="Arial" w:cs="Arial"/>
              </w:rPr>
              <w:t>which has been resolved</w:t>
            </w:r>
            <w:r w:rsidR="003E159A">
              <w:rPr>
                <w:rFonts w:ascii="Arial" w:hAnsi="Arial" w:cs="Arial"/>
              </w:rPr>
              <w:t>.</w:t>
            </w:r>
            <w:r w:rsidR="002A57F2">
              <w:rPr>
                <w:rFonts w:ascii="Arial" w:hAnsi="Arial" w:cs="Arial"/>
              </w:rPr>
              <w:t xml:space="preserve"> </w:t>
            </w:r>
            <w:r w:rsidR="003E159A">
              <w:rPr>
                <w:rFonts w:ascii="Arial" w:hAnsi="Arial" w:cs="Arial"/>
              </w:rPr>
              <w:t>One further issue carried forward from Q2 is currently at the appeal stage.</w:t>
            </w:r>
          </w:p>
          <w:p w:rsidR="001C380A" w:rsidRPr="009C1F2A" w:rsidRDefault="001C380A" w:rsidP="00D44B45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</w:p>
          <w:p w:rsidR="009B7A20" w:rsidRPr="009C1F2A" w:rsidRDefault="009B7A20" w:rsidP="00D44B45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9C1F2A">
              <w:rPr>
                <w:rFonts w:ascii="Arial" w:hAnsi="Arial" w:cs="Arial"/>
                <w:szCs w:val="24"/>
                <w:u w:val="single"/>
              </w:rPr>
              <w:t>Grievance</w:t>
            </w:r>
          </w:p>
          <w:p w:rsidR="009B7A20" w:rsidRPr="009C1F2A" w:rsidRDefault="009B7A20" w:rsidP="00D44B45">
            <w:pPr>
              <w:jc w:val="both"/>
              <w:rPr>
                <w:rFonts w:ascii="Arial" w:hAnsi="Arial" w:cs="Arial"/>
                <w:szCs w:val="24"/>
              </w:rPr>
            </w:pPr>
          </w:p>
          <w:p w:rsidR="009B7A20" w:rsidRPr="009C1F2A" w:rsidRDefault="009B7A20" w:rsidP="00D44B45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F2A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3E159A">
              <w:rPr>
                <w:rFonts w:ascii="Arial" w:hAnsi="Arial" w:cs="Arial"/>
                <w:sz w:val="24"/>
                <w:szCs w:val="24"/>
              </w:rPr>
              <w:t>two</w:t>
            </w:r>
            <w:r w:rsidR="005F2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1F2A">
              <w:rPr>
                <w:rFonts w:ascii="Arial" w:hAnsi="Arial" w:cs="Arial"/>
                <w:sz w:val="24"/>
                <w:szCs w:val="24"/>
              </w:rPr>
              <w:t>matter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C1F2A">
              <w:rPr>
                <w:rFonts w:ascii="Arial" w:hAnsi="Arial" w:cs="Arial"/>
                <w:sz w:val="24"/>
                <w:szCs w:val="24"/>
              </w:rPr>
              <w:t xml:space="preserve"> considered under the chari</w:t>
            </w:r>
            <w:r>
              <w:rPr>
                <w:rFonts w:ascii="Arial" w:hAnsi="Arial" w:cs="Arial"/>
                <w:sz w:val="24"/>
                <w:szCs w:val="24"/>
              </w:rPr>
              <w:t>ty’s grievance procedure in Q</w:t>
            </w:r>
            <w:r w:rsidR="00841F81">
              <w:rPr>
                <w:rFonts w:ascii="Arial" w:hAnsi="Arial" w:cs="Arial"/>
                <w:sz w:val="24"/>
                <w:szCs w:val="24"/>
              </w:rPr>
              <w:t>3</w:t>
            </w:r>
            <w:r w:rsidRPr="009C1F2A">
              <w:rPr>
                <w:rFonts w:ascii="Arial" w:hAnsi="Arial" w:cs="Arial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C1F2A">
              <w:rPr>
                <w:rFonts w:ascii="Arial" w:hAnsi="Arial" w:cs="Arial"/>
                <w:sz w:val="24"/>
                <w:szCs w:val="24"/>
              </w:rPr>
              <w:t>/1</w:t>
            </w:r>
            <w:r w:rsidR="007127E4">
              <w:rPr>
                <w:rFonts w:ascii="Arial" w:hAnsi="Arial" w:cs="Arial"/>
                <w:sz w:val="24"/>
                <w:szCs w:val="24"/>
              </w:rPr>
              <w:t>9</w:t>
            </w:r>
            <w:r w:rsidRPr="009C1F2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A57F2">
              <w:rPr>
                <w:rFonts w:ascii="Arial" w:hAnsi="Arial" w:cs="Arial"/>
                <w:sz w:val="24"/>
                <w:szCs w:val="24"/>
              </w:rPr>
              <w:t>Both</w:t>
            </w:r>
            <w:r w:rsidR="005F2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2FFC">
              <w:rPr>
                <w:rFonts w:ascii="Arial" w:hAnsi="Arial" w:cs="Arial"/>
                <w:sz w:val="24"/>
                <w:szCs w:val="24"/>
              </w:rPr>
              <w:t>of these</w:t>
            </w:r>
            <w:r w:rsidRPr="009C1F2A">
              <w:rPr>
                <w:rFonts w:ascii="Arial" w:hAnsi="Arial" w:cs="Arial"/>
                <w:sz w:val="24"/>
                <w:szCs w:val="24"/>
              </w:rPr>
              <w:t xml:space="preserve"> ha</w:t>
            </w:r>
            <w:r>
              <w:rPr>
                <w:rFonts w:ascii="Arial" w:hAnsi="Arial" w:cs="Arial"/>
                <w:sz w:val="24"/>
                <w:szCs w:val="24"/>
              </w:rPr>
              <w:t>ve</w:t>
            </w:r>
            <w:r w:rsidRPr="009C1F2A">
              <w:rPr>
                <w:rFonts w:ascii="Arial" w:hAnsi="Arial" w:cs="Arial"/>
                <w:sz w:val="24"/>
                <w:szCs w:val="24"/>
              </w:rPr>
              <w:t xml:space="preserve"> been addressed</w:t>
            </w:r>
            <w:r w:rsidR="00976F24">
              <w:rPr>
                <w:rFonts w:ascii="Arial" w:hAnsi="Arial" w:cs="Arial"/>
                <w:sz w:val="24"/>
                <w:szCs w:val="24"/>
              </w:rPr>
              <w:t xml:space="preserve"> and are fully</w:t>
            </w:r>
            <w:r w:rsidR="007B5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FD0">
              <w:rPr>
                <w:rFonts w:ascii="Arial" w:hAnsi="Arial" w:cs="Arial"/>
                <w:sz w:val="24"/>
                <w:szCs w:val="24"/>
              </w:rPr>
              <w:t>resolved</w:t>
            </w:r>
            <w:r w:rsidR="00976F2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B7A20" w:rsidRDefault="009B7A20" w:rsidP="00D44B45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</w:p>
          <w:p w:rsidR="009B7A20" w:rsidRPr="00C8333C" w:rsidRDefault="009B7A20" w:rsidP="00D44B45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C8333C">
              <w:rPr>
                <w:rFonts w:ascii="Arial" w:hAnsi="Arial" w:cs="Arial"/>
                <w:szCs w:val="24"/>
                <w:u w:val="single"/>
              </w:rPr>
              <w:t>Harassment</w:t>
            </w:r>
          </w:p>
          <w:p w:rsidR="009B7A20" w:rsidRPr="009C1F2A" w:rsidRDefault="009B7A20" w:rsidP="00D44B45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:rsidR="009B7A20" w:rsidRDefault="009B7A20" w:rsidP="00D44B45">
            <w:pPr>
              <w:jc w:val="both"/>
              <w:rPr>
                <w:rFonts w:ascii="Arial" w:hAnsi="Arial" w:cs="Arial"/>
                <w:szCs w:val="24"/>
              </w:rPr>
            </w:pPr>
            <w:r w:rsidRPr="009C1F2A">
              <w:rPr>
                <w:rFonts w:ascii="Arial" w:hAnsi="Arial" w:cs="Arial"/>
                <w:szCs w:val="24"/>
              </w:rPr>
              <w:t>There were no harassment issues raised during Q</w:t>
            </w:r>
            <w:r w:rsidR="00841F81">
              <w:rPr>
                <w:rFonts w:ascii="Arial" w:hAnsi="Arial" w:cs="Arial"/>
                <w:szCs w:val="24"/>
              </w:rPr>
              <w:t>3</w:t>
            </w:r>
            <w:r w:rsidRPr="009C1F2A">
              <w:rPr>
                <w:rFonts w:ascii="Arial" w:hAnsi="Arial" w:cs="Arial"/>
                <w:szCs w:val="24"/>
              </w:rPr>
              <w:t xml:space="preserve"> in 201</w:t>
            </w:r>
            <w:r>
              <w:rPr>
                <w:rFonts w:ascii="Arial" w:hAnsi="Arial" w:cs="Arial"/>
                <w:szCs w:val="24"/>
              </w:rPr>
              <w:t>8</w:t>
            </w:r>
            <w:r w:rsidRPr="009C1F2A">
              <w:rPr>
                <w:rFonts w:ascii="Arial" w:hAnsi="Arial" w:cs="Arial"/>
                <w:szCs w:val="24"/>
              </w:rPr>
              <w:t>/1</w:t>
            </w:r>
            <w:r>
              <w:rPr>
                <w:rFonts w:ascii="Arial" w:hAnsi="Arial" w:cs="Arial"/>
                <w:szCs w:val="24"/>
              </w:rPr>
              <w:t>9</w:t>
            </w:r>
            <w:r w:rsidRPr="009C1F2A">
              <w:rPr>
                <w:rFonts w:ascii="Arial" w:hAnsi="Arial" w:cs="Arial"/>
                <w:szCs w:val="24"/>
              </w:rPr>
              <w:t>.</w:t>
            </w:r>
          </w:p>
          <w:p w:rsidR="009B7A20" w:rsidRPr="009C1F2A" w:rsidRDefault="009B7A20" w:rsidP="00D44B45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9B7A20" w:rsidRPr="007214D1" w:rsidTr="006F3879">
        <w:tc>
          <w:tcPr>
            <w:tcW w:w="959" w:type="dxa"/>
          </w:tcPr>
          <w:p w:rsidR="009B7A20" w:rsidRDefault="009B7A20" w:rsidP="009D6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7</w:t>
            </w: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>.1</w:t>
            </w: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2C6BFA" w:rsidRDefault="002C6BFA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>.2</w:t>
            </w: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416B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9B7A20" w:rsidRPr="00265F13" w:rsidRDefault="009B7A20" w:rsidP="005E442C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265F13">
              <w:rPr>
                <w:rFonts w:ascii="Arial" w:hAnsi="Arial" w:cs="Arial"/>
                <w:szCs w:val="24"/>
                <w:u w:val="single"/>
              </w:rPr>
              <w:lastRenderedPageBreak/>
              <w:t xml:space="preserve">Employee relations </w:t>
            </w:r>
          </w:p>
          <w:p w:rsidR="009B7A20" w:rsidRDefault="009B7A20" w:rsidP="005E442C">
            <w:pPr>
              <w:jc w:val="both"/>
              <w:rPr>
                <w:rFonts w:ascii="Arial" w:hAnsi="Arial" w:cs="Arial"/>
                <w:szCs w:val="24"/>
              </w:rPr>
            </w:pPr>
          </w:p>
          <w:p w:rsidR="002C6BFA" w:rsidRDefault="009B7A20" w:rsidP="00380CD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Company has engaged with the three Trade Unions (TUs) that have members within the organisation, namely Unison, Unite</w:t>
            </w:r>
            <w:r w:rsidR="000D616A">
              <w:rPr>
                <w:rFonts w:ascii="Arial" w:hAnsi="Arial" w:cs="Arial"/>
                <w:szCs w:val="24"/>
              </w:rPr>
              <w:t>, GMB and EIS.</w:t>
            </w:r>
            <w:r>
              <w:rPr>
                <w:rFonts w:ascii="Arial" w:hAnsi="Arial" w:cs="Arial"/>
                <w:szCs w:val="24"/>
              </w:rPr>
              <w:t xml:space="preserve">  The Company deals with the TUs formally through the Joint Consultation Forum (JCF) which meets quarterly, the last meeting </w:t>
            </w:r>
            <w:r w:rsidRPr="008A57F3">
              <w:rPr>
                <w:rFonts w:ascii="Arial" w:hAnsi="Arial" w:cs="Arial"/>
                <w:szCs w:val="24"/>
              </w:rPr>
              <w:t>was held 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41F81">
              <w:rPr>
                <w:rFonts w:ascii="Arial" w:hAnsi="Arial" w:cs="Arial"/>
                <w:szCs w:val="24"/>
              </w:rPr>
              <w:t>9 January 2019</w:t>
            </w:r>
          </w:p>
          <w:p w:rsidR="002C6BFA" w:rsidRDefault="002C6BFA" w:rsidP="00380CDF">
            <w:pPr>
              <w:jc w:val="both"/>
              <w:rPr>
                <w:rFonts w:ascii="Arial" w:hAnsi="Arial" w:cs="Arial"/>
                <w:szCs w:val="24"/>
              </w:rPr>
            </w:pPr>
          </w:p>
          <w:p w:rsidR="009B7A20" w:rsidRPr="00462977" w:rsidRDefault="009B7A20" w:rsidP="00380CDF">
            <w:pPr>
              <w:jc w:val="both"/>
              <w:rPr>
                <w:rFonts w:ascii="Arial" w:hAnsi="Arial" w:cs="Arial"/>
                <w:szCs w:val="24"/>
              </w:rPr>
            </w:pPr>
            <w:r w:rsidRPr="00462977">
              <w:rPr>
                <w:rFonts w:ascii="Arial" w:hAnsi="Arial" w:cs="Arial"/>
                <w:szCs w:val="24"/>
              </w:rPr>
              <w:t>The main discussion areas at this meeting were:</w:t>
            </w:r>
          </w:p>
          <w:p w:rsidR="009B7A20" w:rsidRPr="00462977" w:rsidRDefault="009B7A20" w:rsidP="00380CDF">
            <w:pPr>
              <w:jc w:val="both"/>
              <w:rPr>
                <w:rFonts w:ascii="Arial" w:hAnsi="Arial" w:cs="Arial"/>
                <w:szCs w:val="24"/>
              </w:rPr>
            </w:pPr>
          </w:p>
          <w:p w:rsidR="000D616A" w:rsidRPr="000D616A" w:rsidRDefault="000D616A" w:rsidP="00B143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HLH move to single payroll for all staff </w:t>
            </w:r>
          </w:p>
          <w:p w:rsidR="000D616A" w:rsidRPr="000D616A" w:rsidRDefault="000D616A" w:rsidP="00B143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Emergency Contact rota proposal (Outdoor/Youth/Active Schools)</w:t>
            </w:r>
          </w:p>
          <w:p w:rsidR="000D616A" w:rsidRPr="000D616A" w:rsidRDefault="000D616A" w:rsidP="00B143C6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/>
                <w:sz w:val="24"/>
                <w:szCs w:val="24"/>
              </w:rPr>
            </w:pPr>
            <w:r w:rsidRPr="000D616A">
              <w:rPr>
                <w:rFonts w:ascii="Arial" w:eastAsia="Arial" w:hAnsi="Arial"/>
                <w:sz w:val="24"/>
                <w:szCs w:val="24"/>
              </w:rPr>
              <w:t>Highland Heroes Awards</w:t>
            </w:r>
          </w:p>
          <w:p w:rsidR="000D616A" w:rsidRPr="000D616A" w:rsidRDefault="000D616A" w:rsidP="00B143C6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/>
                <w:sz w:val="24"/>
                <w:szCs w:val="24"/>
              </w:rPr>
            </w:pPr>
            <w:r w:rsidRPr="000D616A">
              <w:rPr>
                <w:rFonts w:ascii="Arial" w:eastAsia="Arial" w:hAnsi="Arial"/>
                <w:sz w:val="24"/>
                <w:szCs w:val="24"/>
              </w:rPr>
              <w:t>Budget implications for HLH</w:t>
            </w:r>
          </w:p>
          <w:p w:rsidR="003A4B9C" w:rsidRPr="00E61239" w:rsidRDefault="000D616A" w:rsidP="00E612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0D616A">
              <w:rPr>
                <w:rFonts w:ascii="Arial" w:eastAsia="Arial" w:hAnsi="Arial"/>
                <w:sz w:val="24"/>
                <w:szCs w:val="24"/>
              </w:rPr>
              <w:t>Christmas closures</w:t>
            </w:r>
          </w:p>
        </w:tc>
      </w:tr>
      <w:tr w:rsidR="009B7A20" w:rsidRPr="00717E7E" w:rsidTr="006F3879">
        <w:trPr>
          <w:trHeight w:val="80"/>
        </w:trPr>
        <w:tc>
          <w:tcPr>
            <w:tcW w:w="959" w:type="dxa"/>
          </w:tcPr>
          <w:p w:rsidR="009B7A20" w:rsidRPr="00C8333C" w:rsidRDefault="009B7A20" w:rsidP="00DD3B83">
            <w:pPr>
              <w:rPr>
                <w:rFonts w:ascii="Arial" w:hAnsi="Arial" w:cs="Arial"/>
                <w:szCs w:val="24"/>
              </w:rPr>
            </w:pPr>
            <w:r w:rsidRPr="00C8333C">
              <w:rPr>
                <w:rFonts w:ascii="Arial" w:hAnsi="Arial" w:cs="Arial"/>
                <w:szCs w:val="24"/>
              </w:rPr>
              <w:lastRenderedPageBreak/>
              <w:t>3.</w:t>
            </w:r>
            <w:r w:rsidR="00DD3B83">
              <w:rPr>
                <w:rFonts w:ascii="Arial" w:hAnsi="Arial" w:cs="Arial"/>
                <w:szCs w:val="24"/>
              </w:rPr>
              <w:t>7</w:t>
            </w:r>
            <w:r w:rsidRPr="00C8333C">
              <w:rPr>
                <w:rFonts w:ascii="Arial" w:hAnsi="Arial" w:cs="Arial"/>
                <w:szCs w:val="24"/>
              </w:rPr>
              <w:t>.3</w:t>
            </w:r>
          </w:p>
        </w:tc>
        <w:tc>
          <w:tcPr>
            <w:tcW w:w="8505" w:type="dxa"/>
          </w:tcPr>
          <w:p w:rsidR="009B7A20" w:rsidRDefault="009B7A20" w:rsidP="00C8333C">
            <w:pPr>
              <w:jc w:val="both"/>
              <w:rPr>
                <w:rFonts w:ascii="Arial" w:hAnsi="Arial" w:cs="Arial"/>
                <w:szCs w:val="24"/>
              </w:rPr>
            </w:pPr>
            <w:r w:rsidRPr="004438C9">
              <w:rPr>
                <w:rFonts w:ascii="Arial" w:hAnsi="Arial" w:cs="Arial"/>
                <w:szCs w:val="24"/>
              </w:rPr>
              <w:t>In addition, the</w:t>
            </w:r>
            <w:r>
              <w:rPr>
                <w:rFonts w:ascii="Arial" w:hAnsi="Arial" w:cs="Arial"/>
                <w:szCs w:val="24"/>
              </w:rPr>
              <w:t xml:space="preserve"> above</w:t>
            </w:r>
            <w:r w:rsidRPr="004438C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</w:t>
            </w:r>
            <w:r w:rsidRPr="004438C9">
              <w:rPr>
                <w:rFonts w:ascii="Arial" w:hAnsi="Arial" w:cs="Arial"/>
                <w:szCs w:val="24"/>
              </w:rPr>
              <w:t xml:space="preserve">rade </w:t>
            </w:r>
            <w:r>
              <w:rPr>
                <w:rFonts w:ascii="Arial" w:hAnsi="Arial" w:cs="Arial"/>
                <w:szCs w:val="24"/>
              </w:rPr>
              <w:t>U</w:t>
            </w:r>
            <w:r w:rsidRPr="004438C9">
              <w:rPr>
                <w:rFonts w:ascii="Arial" w:hAnsi="Arial" w:cs="Arial"/>
                <w:szCs w:val="24"/>
              </w:rPr>
              <w:t>nions are</w:t>
            </w:r>
            <w:r>
              <w:rPr>
                <w:rFonts w:ascii="Arial" w:hAnsi="Arial" w:cs="Arial"/>
                <w:szCs w:val="24"/>
              </w:rPr>
              <w:t xml:space="preserve"> invited to be</w:t>
            </w:r>
            <w:r w:rsidRPr="004438C9">
              <w:rPr>
                <w:rFonts w:ascii="Arial" w:hAnsi="Arial" w:cs="Arial"/>
                <w:szCs w:val="24"/>
              </w:rPr>
              <w:t xml:space="preserve"> represented on the staff Health and Safety Committee.</w:t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  <w:p w:rsidR="009B7A20" w:rsidRDefault="009B7A20" w:rsidP="00C8333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B7A20" w:rsidRPr="00717E7E" w:rsidTr="006F3879">
        <w:trPr>
          <w:trHeight w:val="80"/>
        </w:trPr>
        <w:tc>
          <w:tcPr>
            <w:tcW w:w="959" w:type="dxa"/>
          </w:tcPr>
          <w:p w:rsidR="009B7A20" w:rsidRPr="00C8333C" w:rsidRDefault="009B7A20" w:rsidP="00DD3B83">
            <w:pPr>
              <w:rPr>
                <w:rFonts w:ascii="Arial" w:hAnsi="Arial" w:cs="Arial"/>
                <w:szCs w:val="24"/>
              </w:rPr>
            </w:pPr>
            <w:r w:rsidRPr="00C8333C">
              <w:rPr>
                <w:rFonts w:ascii="Arial" w:hAnsi="Arial" w:cs="Arial"/>
                <w:szCs w:val="24"/>
              </w:rPr>
              <w:t>3.</w:t>
            </w:r>
            <w:r w:rsidR="00DD3B83">
              <w:rPr>
                <w:rFonts w:ascii="Arial" w:hAnsi="Arial" w:cs="Arial"/>
                <w:szCs w:val="24"/>
              </w:rPr>
              <w:t>7</w:t>
            </w:r>
            <w:r w:rsidRPr="00C8333C">
              <w:rPr>
                <w:rFonts w:ascii="Arial" w:hAnsi="Arial" w:cs="Arial"/>
                <w:szCs w:val="24"/>
              </w:rPr>
              <w:t>.4</w:t>
            </w:r>
          </w:p>
        </w:tc>
        <w:tc>
          <w:tcPr>
            <w:tcW w:w="8505" w:type="dxa"/>
          </w:tcPr>
          <w:p w:rsidR="009B7A20" w:rsidRDefault="009B7A20" w:rsidP="00C8333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Management and representatives of HR also discuss with the Trade Unions individual issues as and when required.</w:t>
            </w:r>
          </w:p>
          <w:p w:rsidR="009B7A20" w:rsidRDefault="009B7A20" w:rsidP="00FB7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B7A20" w:rsidRPr="00717E7E" w:rsidTr="006F3879">
        <w:trPr>
          <w:trHeight w:val="80"/>
        </w:trPr>
        <w:tc>
          <w:tcPr>
            <w:tcW w:w="959" w:type="dxa"/>
          </w:tcPr>
          <w:p w:rsidR="009B7A20" w:rsidRPr="00834A8E" w:rsidRDefault="00976F24" w:rsidP="00F370F9">
            <w:pPr>
              <w:rPr>
                <w:rFonts w:ascii="Arial" w:hAnsi="Arial" w:cs="Arial"/>
                <w:b/>
                <w:szCs w:val="24"/>
              </w:rPr>
            </w:pPr>
            <w:r w:rsidRPr="00834A8E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505" w:type="dxa"/>
          </w:tcPr>
          <w:p w:rsidR="009B7A20" w:rsidRDefault="00976F24" w:rsidP="00CD2306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834A8E">
              <w:rPr>
                <w:rFonts w:ascii="Arial" w:hAnsi="Arial" w:cs="Arial"/>
                <w:b/>
                <w:szCs w:val="24"/>
              </w:rPr>
              <w:t xml:space="preserve">Staff Health and Wellbeing </w:t>
            </w:r>
            <w:r w:rsidR="00834A8E">
              <w:rPr>
                <w:rFonts w:ascii="Arial" w:hAnsi="Arial" w:cs="Arial"/>
                <w:b/>
                <w:szCs w:val="24"/>
              </w:rPr>
              <w:t>Week</w:t>
            </w:r>
          </w:p>
          <w:p w:rsidR="00834A8E" w:rsidRPr="00834A8E" w:rsidRDefault="00834A8E" w:rsidP="00CD2306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F60031" w:rsidTr="00F63B22">
        <w:trPr>
          <w:trHeight w:val="80"/>
        </w:trPr>
        <w:tc>
          <w:tcPr>
            <w:tcW w:w="959" w:type="dxa"/>
          </w:tcPr>
          <w:p w:rsidR="00F60031" w:rsidRDefault="00F600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4.1</w:t>
            </w:r>
          </w:p>
        </w:tc>
        <w:tc>
          <w:tcPr>
            <w:tcW w:w="8505" w:type="dxa"/>
          </w:tcPr>
          <w:p w:rsidR="00F60031" w:rsidRDefault="00F60031" w:rsidP="00F6003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Directors will recall discussion on staff health and wellbeing when the outcomes from the Staff Survey were presented to the Board in December 2017. Directors </w:t>
            </w:r>
            <w:r w:rsidR="00282805">
              <w:rPr>
                <w:rFonts w:ascii="Arial" w:hAnsi="Arial" w:cs="Arial"/>
                <w:szCs w:val="24"/>
              </w:rPr>
              <w:t xml:space="preserve">requested that management </w:t>
            </w:r>
            <w:r>
              <w:rPr>
                <w:rFonts w:ascii="Arial" w:hAnsi="Arial" w:cs="Arial"/>
                <w:szCs w:val="24"/>
              </w:rPr>
              <w:t>review ways in which this topic could be considered internally across the charity</w:t>
            </w:r>
            <w:r w:rsidR="00282805">
              <w:rPr>
                <w:rFonts w:ascii="Arial" w:hAnsi="Arial" w:cs="Arial"/>
                <w:szCs w:val="24"/>
              </w:rPr>
              <w:t xml:space="preserve"> as one of the key outcomes from the staff survey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F60031" w:rsidRDefault="00F60031" w:rsidP="00F6003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82805" w:rsidTr="00F63B22">
        <w:trPr>
          <w:trHeight w:val="80"/>
        </w:trPr>
        <w:tc>
          <w:tcPr>
            <w:tcW w:w="959" w:type="dxa"/>
          </w:tcPr>
          <w:p w:rsidR="00282805" w:rsidRDefault="00A06B8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4.2</w:t>
            </w:r>
          </w:p>
        </w:tc>
        <w:tc>
          <w:tcPr>
            <w:tcW w:w="8505" w:type="dxa"/>
          </w:tcPr>
          <w:p w:rsidR="00282805" w:rsidRDefault="00282805" w:rsidP="00F6003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During early 2018 a number of staff workshops were held to identify ways in which the Charity could help with the wellbeing of its staff.</w:t>
            </w:r>
          </w:p>
          <w:p w:rsidR="00282805" w:rsidRDefault="00282805" w:rsidP="00F6003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3B22" w:rsidTr="00F63B22">
        <w:trPr>
          <w:trHeight w:val="80"/>
        </w:trPr>
        <w:tc>
          <w:tcPr>
            <w:tcW w:w="959" w:type="dxa"/>
          </w:tcPr>
          <w:p w:rsidR="00F63B22" w:rsidRDefault="00834A8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="00A06B8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5" w:type="dxa"/>
          </w:tcPr>
          <w:p w:rsidR="00282805" w:rsidRDefault="00282805" w:rsidP="00976F24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information obtained through the workshops was then collated and discussed with Senior Management Team where agreement was reached to set-up a short-life working group, </w:t>
            </w:r>
            <w:r w:rsidR="009A09D4">
              <w:rPr>
                <w:rFonts w:ascii="Arial" w:hAnsi="Arial" w:cs="Arial"/>
                <w:szCs w:val="24"/>
              </w:rPr>
              <w:t>to include</w:t>
            </w:r>
            <w:r>
              <w:rPr>
                <w:rFonts w:ascii="Arial" w:hAnsi="Arial" w:cs="Arial"/>
                <w:szCs w:val="24"/>
              </w:rPr>
              <w:t xml:space="preserve"> representation from all services with a remit to explore the ways in which the workshops outcomes could be implemented.</w:t>
            </w:r>
          </w:p>
          <w:p w:rsidR="00834A8E" w:rsidRPr="00F63B22" w:rsidRDefault="00834A8E" w:rsidP="0028280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3B22" w:rsidTr="00F63B22">
        <w:trPr>
          <w:trHeight w:val="80"/>
        </w:trPr>
        <w:tc>
          <w:tcPr>
            <w:tcW w:w="959" w:type="dxa"/>
          </w:tcPr>
          <w:p w:rsidR="00F63B22" w:rsidRDefault="00834A8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="00A06B8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5" w:type="dxa"/>
          </w:tcPr>
          <w:p w:rsidR="00F63B22" w:rsidRPr="00A06B88" w:rsidRDefault="00976F24" w:rsidP="00A75273">
            <w:pPr>
              <w:jc w:val="both"/>
              <w:rPr>
                <w:rFonts w:ascii="Arial" w:hAnsi="Arial" w:cs="Arial"/>
                <w:szCs w:val="24"/>
              </w:rPr>
            </w:pPr>
            <w:r w:rsidRPr="00A06B88">
              <w:rPr>
                <w:rFonts w:ascii="Arial" w:hAnsi="Arial" w:cs="Arial"/>
                <w:szCs w:val="24"/>
              </w:rPr>
              <w:t xml:space="preserve">The </w:t>
            </w:r>
            <w:r w:rsidR="00282805" w:rsidRPr="00A06B88">
              <w:rPr>
                <w:rFonts w:ascii="Arial" w:hAnsi="Arial" w:cs="Arial"/>
                <w:szCs w:val="24"/>
              </w:rPr>
              <w:t xml:space="preserve">short-life </w:t>
            </w:r>
            <w:r w:rsidRPr="00A06B88">
              <w:rPr>
                <w:rFonts w:ascii="Arial" w:hAnsi="Arial" w:cs="Arial"/>
                <w:szCs w:val="24"/>
              </w:rPr>
              <w:t>working group</w:t>
            </w:r>
            <w:r w:rsidR="00282805" w:rsidRPr="00A06B88">
              <w:rPr>
                <w:rFonts w:ascii="Arial" w:hAnsi="Arial" w:cs="Arial"/>
                <w:szCs w:val="24"/>
              </w:rPr>
              <w:t xml:space="preserve"> </w:t>
            </w:r>
            <w:r w:rsidRPr="00A06B88">
              <w:rPr>
                <w:rFonts w:ascii="Arial" w:hAnsi="Arial" w:cs="Arial"/>
                <w:szCs w:val="24"/>
              </w:rPr>
              <w:t>ha</w:t>
            </w:r>
            <w:r w:rsidR="00834A8E" w:rsidRPr="00A06B88">
              <w:rPr>
                <w:rFonts w:ascii="Arial" w:hAnsi="Arial" w:cs="Arial"/>
                <w:szCs w:val="24"/>
              </w:rPr>
              <w:t>s</w:t>
            </w:r>
            <w:r w:rsidRPr="00A06B88">
              <w:rPr>
                <w:rFonts w:ascii="Arial" w:hAnsi="Arial" w:cs="Arial"/>
                <w:szCs w:val="24"/>
              </w:rPr>
              <w:t xml:space="preserve"> been meeting on a monthly basis since September</w:t>
            </w:r>
            <w:r w:rsidR="00834A8E" w:rsidRPr="00A06B88">
              <w:rPr>
                <w:rFonts w:ascii="Arial" w:hAnsi="Arial" w:cs="Arial"/>
                <w:szCs w:val="24"/>
              </w:rPr>
              <w:t xml:space="preserve"> and </w:t>
            </w:r>
            <w:r w:rsidR="00282805" w:rsidRPr="00A06B88">
              <w:rPr>
                <w:rFonts w:ascii="Arial" w:hAnsi="Arial" w:cs="Arial"/>
                <w:szCs w:val="24"/>
              </w:rPr>
              <w:t>have focussed on the key areas:</w:t>
            </w:r>
            <w:r w:rsidR="00A75273" w:rsidRPr="00A06B88">
              <w:rPr>
                <w:rFonts w:ascii="Arial" w:hAnsi="Arial" w:cs="Arial"/>
                <w:szCs w:val="24"/>
              </w:rPr>
              <w:t xml:space="preserve">  </w:t>
            </w:r>
          </w:p>
          <w:p w:rsidR="00282805" w:rsidRPr="00A06B88" w:rsidRDefault="00282805" w:rsidP="00A75273">
            <w:pPr>
              <w:jc w:val="both"/>
              <w:rPr>
                <w:rFonts w:ascii="Arial" w:hAnsi="Arial" w:cs="Arial"/>
                <w:szCs w:val="24"/>
              </w:rPr>
            </w:pPr>
          </w:p>
          <w:p w:rsidR="00282805" w:rsidRPr="00A06B88" w:rsidRDefault="00282805" w:rsidP="0028280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B88">
              <w:rPr>
                <w:rFonts w:ascii="Arial" w:hAnsi="Arial" w:cs="Arial"/>
                <w:sz w:val="24"/>
                <w:szCs w:val="24"/>
              </w:rPr>
              <w:t>Access to work-related health and wellbeing information – this has been achieved through the development of a new design webpage where staff will now be able to access internal and external health related information (e.g. NHS initiatives, Paths for All – step it up challenges etc.;</w:t>
            </w:r>
          </w:p>
          <w:p w:rsidR="00A06B88" w:rsidRPr="00A06B88" w:rsidRDefault="00282805" w:rsidP="00A06B8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B88">
              <w:rPr>
                <w:rFonts w:ascii="Arial" w:hAnsi="Arial" w:cs="Arial"/>
                <w:sz w:val="24"/>
                <w:szCs w:val="24"/>
              </w:rPr>
              <w:t>HLH Health and Wellbeing Week – this is a staff focused health awareness week (physical and mental)</w:t>
            </w:r>
            <w:r w:rsidR="00A06B88" w:rsidRPr="00A06B88">
              <w:rPr>
                <w:rFonts w:ascii="Arial" w:hAnsi="Arial" w:cs="Arial"/>
                <w:sz w:val="24"/>
                <w:szCs w:val="24"/>
              </w:rPr>
              <w:t xml:space="preserve">. The week will run from 13 – 19 May 2019 and will coincide with National Mental Health Awareness Week. The short-life group invited HLH colleagues to offer health and wellbeing related activities/sessions to colleagues during the inaugural Health and Wellbeing week. This resulted in an overwhelming 100+ activities being offered ranging from weaving in Lochaber; weightlifting in Thurso; Zorbing in Tain; adult lego in Tain; healthy baking in </w:t>
            </w:r>
            <w:r w:rsidR="009A09D4" w:rsidRPr="00A06B88">
              <w:rPr>
                <w:rFonts w:ascii="Arial" w:hAnsi="Arial" w:cs="Arial"/>
                <w:sz w:val="24"/>
                <w:szCs w:val="24"/>
              </w:rPr>
              <w:t>Sutherland</w:t>
            </w:r>
            <w:r w:rsidR="00A06B88" w:rsidRPr="00A06B88">
              <w:rPr>
                <w:rFonts w:ascii="Arial" w:hAnsi="Arial" w:cs="Arial"/>
                <w:sz w:val="24"/>
                <w:szCs w:val="24"/>
              </w:rPr>
              <w:t xml:space="preserve"> and an introduction to family history in Inverness;</w:t>
            </w:r>
          </w:p>
          <w:p w:rsidR="00A06B88" w:rsidRPr="00A06B88" w:rsidRDefault="00A06B88" w:rsidP="00A06B8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B88">
              <w:rPr>
                <w:rFonts w:ascii="Arial" w:hAnsi="Arial" w:cs="Arial"/>
                <w:sz w:val="24"/>
                <w:szCs w:val="24"/>
              </w:rPr>
              <w:t>All staff will be given the opportunity to use a 7-Day pass for gyms/classes/pools etc. during the HLH Health and Wellbeing week;</w:t>
            </w:r>
          </w:p>
          <w:p w:rsidR="00A06B88" w:rsidRPr="00A06B88" w:rsidRDefault="00A06B88" w:rsidP="00A06B8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B88">
              <w:rPr>
                <w:rFonts w:ascii="Arial" w:hAnsi="Arial" w:cs="Arial"/>
                <w:sz w:val="24"/>
                <w:szCs w:val="24"/>
              </w:rPr>
              <w:t>The start of a month-long step (walking) challenge for all staff across all services to increase activity etc. The winning team will be announced/recognised at Vol</w:t>
            </w:r>
            <w:r>
              <w:rPr>
                <w:rFonts w:ascii="Arial" w:hAnsi="Arial" w:cs="Arial"/>
                <w:sz w:val="24"/>
                <w:szCs w:val="24"/>
              </w:rPr>
              <w:t>unteer and Staff Awards 2019</w:t>
            </w:r>
            <w:r w:rsidRPr="00A06B8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75273" w:rsidRPr="00A06B88" w:rsidRDefault="00A06B88" w:rsidP="00A752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B88">
              <w:rPr>
                <w:rFonts w:ascii="Arial" w:hAnsi="Arial" w:cs="Arial"/>
                <w:sz w:val="24"/>
                <w:szCs w:val="24"/>
              </w:rPr>
              <w:lastRenderedPageBreak/>
              <w:t xml:space="preserve">The launch of a 10% staff discount on </w:t>
            </w:r>
            <w:r w:rsidRPr="00A06B88">
              <w:rPr>
                <w:rFonts w:ascii="Arial" w:hAnsi="Arial" w:cs="Arial"/>
                <w:i/>
                <w:sz w:val="24"/>
                <w:szCs w:val="24"/>
              </w:rPr>
              <w:t>high</w:t>
            </w:r>
            <w:r w:rsidRPr="00A06B8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life </w:t>
            </w:r>
            <w:r w:rsidRPr="00A06B88">
              <w:rPr>
                <w:rFonts w:ascii="Arial" w:hAnsi="Arial" w:cs="Arial"/>
                <w:sz w:val="24"/>
                <w:szCs w:val="24"/>
              </w:rPr>
              <w:t xml:space="preserve">membership to encourage staff and their immediate family to sign up to the card. </w:t>
            </w:r>
          </w:p>
        </w:tc>
      </w:tr>
      <w:tr w:rsidR="00F63B22" w:rsidTr="00F63B22">
        <w:trPr>
          <w:trHeight w:val="80"/>
        </w:trPr>
        <w:tc>
          <w:tcPr>
            <w:tcW w:w="959" w:type="dxa"/>
          </w:tcPr>
          <w:p w:rsidR="00F63B22" w:rsidRDefault="00834A8E" w:rsidP="00C42F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4.</w:t>
            </w:r>
            <w:r w:rsidR="00C42FC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5" w:type="dxa"/>
          </w:tcPr>
          <w:p w:rsidR="00A06B88" w:rsidRDefault="00A06B88" w:rsidP="00A06B8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outcomes and success</w:t>
            </w:r>
            <w:r w:rsidR="002F66DC">
              <w:rPr>
                <w:rFonts w:ascii="Arial" w:hAnsi="Arial" w:cs="Arial"/>
                <w:szCs w:val="24"/>
              </w:rPr>
              <w:t>es/improvements</w:t>
            </w:r>
            <w:r>
              <w:rPr>
                <w:rFonts w:ascii="Arial" w:hAnsi="Arial" w:cs="Arial"/>
                <w:szCs w:val="24"/>
              </w:rPr>
              <w:t xml:space="preserve"> of the project will be evaluated by the short-life working group and reported back to the Board at a later date.</w:t>
            </w:r>
          </w:p>
          <w:p w:rsidR="0018152E" w:rsidRPr="00F63B22" w:rsidRDefault="0018152E" w:rsidP="0018152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6117D" w:rsidTr="00F63B22">
        <w:trPr>
          <w:trHeight w:val="80"/>
        </w:trPr>
        <w:tc>
          <w:tcPr>
            <w:tcW w:w="959" w:type="dxa"/>
          </w:tcPr>
          <w:p w:rsidR="0026117D" w:rsidRPr="0026117D" w:rsidRDefault="0026117D" w:rsidP="00C42FCC">
            <w:pPr>
              <w:rPr>
                <w:rFonts w:ascii="Arial" w:hAnsi="Arial" w:cs="Arial"/>
                <w:b/>
                <w:szCs w:val="24"/>
              </w:rPr>
            </w:pPr>
            <w:r w:rsidRPr="0026117D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505" w:type="dxa"/>
          </w:tcPr>
          <w:p w:rsidR="0026117D" w:rsidRDefault="0026117D" w:rsidP="00A06B88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6117D">
              <w:rPr>
                <w:rFonts w:ascii="Arial" w:hAnsi="Arial" w:cs="Arial"/>
                <w:b/>
                <w:szCs w:val="24"/>
              </w:rPr>
              <w:t>Staff Survey 2019</w:t>
            </w:r>
          </w:p>
          <w:p w:rsidR="001C52A6" w:rsidRPr="0026117D" w:rsidRDefault="001C52A6" w:rsidP="00A06B88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256CC8" w:rsidTr="00F63B22">
        <w:trPr>
          <w:trHeight w:val="80"/>
        </w:trPr>
        <w:tc>
          <w:tcPr>
            <w:tcW w:w="959" w:type="dxa"/>
          </w:tcPr>
          <w:p w:rsidR="00256CC8" w:rsidRPr="001C52A6" w:rsidRDefault="001C52A6" w:rsidP="00C42FCC">
            <w:pPr>
              <w:rPr>
                <w:rFonts w:ascii="Arial" w:hAnsi="Arial" w:cs="Arial"/>
                <w:szCs w:val="24"/>
              </w:rPr>
            </w:pPr>
            <w:r w:rsidRPr="001C52A6">
              <w:rPr>
                <w:rFonts w:ascii="Arial" w:hAnsi="Arial" w:cs="Arial"/>
                <w:szCs w:val="24"/>
              </w:rPr>
              <w:t>5.1</w:t>
            </w:r>
          </w:p>
        </w:tc>
        <w:tc>
          <w:tcPr>
            <w:tcW w:w="8505" w:type="dxa"/>
          </w:tcPr>
          <w:p w:rsidR="00256CC8" w:rsidRPr="00256CC8" w:rsidRDefault="00256CC8" w:rsidP="00256CC8">
            <w:pPr>
              <w:jc w:val="both"/>
              <w:rPr>
                <w:rFonts w:ascii="Arial" w:hAnsi="Arial" w:cs="Arial"/>
                <w:szCs w:val="24"/>
              </w:rPr>
            </w:pPr>
            <w:r w:rsidRPr="00256CC8">
              <w:rPr>
                <w:rFonts w:ascii="Arial" w:hAnsi="Arial" w:cs="Arial"/>
                <w:szCs w:val="24"/>
              </w:rPr>
              <w:t xml:space="preserve">HLH’s biennial staff survey asks staff for their views on their job and of the organisation as a whole.  This year’s survey will be available online, or if preferred, </w:t>
            </w:r>
            <w:r w:rsidR="00DD0581">
              <w:rPr>
                <w:rFonts w:ascii="Arial" w:hAnsi="Arial" w:cs="Arial"/>
                <w:szCs w:val="24"/>
              </w:rPr>
              <w:t>as a paper version</w:t>
            </w:r>
            <w:r w:rsidRPr="00256CC8">
              <w:rPr>
                <w:rFonts w:ascii="Arial" w:hAnsi="Arial" w:cs="Arial"/>
                <w:szCs w:val="24"/>
              </w:rPr>
              <w:t xml:space="preserve">, from the beginning of May until the end of the month and provides the Charity with an opportunity to obtain a genuine insight into how </w:t>
            </w:r>
            <w:proofErr w:type="gramStart"/>
            <w:r w:rsidRPr="00256CC8">
              <w:rPr>
                <w:rFonts w:ascii="Arial" w:hAnsi="Arial" w:cs="Arial"/>
                <w:szCs w:val="24"/>
              </w:rPr>
              <w:t>staff feel</w:t>
            </w:r>
            <w:proofErr w:type="gramEnd"/>
            <w:r w:rsidRPr="00256CC8">
              <w:rPr>
                <w:rFonts w:ascii="Arial" w:hAnsi="Arial" w:cs="Arial"/>
                <w:szCs w:val="24"/>
              </w:rPr>
              <w:t xml:space="preserve"> about their work and can help the Charity take action to improve job satisfaction and performance. </w:t>
            </w:r>
          </w:p>
          <w:p w:rsidR="00256CC8" w:rsidRPr="00256CC8" w:rsidRDefault="00256CC8" w:rsidP="00256CC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6CC8" w:rsidTr="00F63B22">
        <w:trPr>
          <w:trHeight w:val="80"/>
        </w:trPr>
        <w:tc>
          <w:tcPr>
            <w:tcW w:w="959" w:type="dxa"/>
          </w:tcPr>
          <w:p w:rsidR="00256CC8" w:rsidRPr="001C52A6" w:rsidRDefault="001C52A6" w:rsidP="00C42FCC">
            <w:pPr>
              <w:rPr>
                <w:rFonts w:ascii="Arial" w:hAnsi="Arial" w:cs="Arial"/>
                <w:szCs w:val="24"/>
              </w:rPr>
            </w:pPr>
            <w:r w:rsidRPr="001C52A6">
              <w:rPr>
                <w:rFonts w:ascii="Arial" w:hAnsi="Arial" w:cs="Arial"/>
                <w:szCs w:val="24"/>
              </w:rPr>
              <w:t>5.2</w:t>
            </w:r>
          </w:p>
        </w:tc>
        <w:tc>
          <w:tcPr>
            <w:tcW w:w="8505" w:type="dxa"/>
          </w:tcPr>
          <w:p w:rsidR="00256CC8" w:rsidRPr="00256CC8" w:rsidRDefault="00256CC8" w:rsidP="00256CC8">
            <w:pPr>
              <w:jc w:val="both"/>
              <w:rPr>
                <w:rFonts w:ascii="Arial" w:hAnsi="Arial" w:cs="Arial"/>
                <w:szCs w:val="24"/>
              </w:rPr>
            </w:pPr>
            <w:r w:rsidRPr="00256CC8">
              <w:rPr>
                <w:rFonts w:ascii="Arial" w:hAnsi="Arial" w:cs="Arial"/>
                <w:szCs w:val="24"/>
              </w:rPr>
              <w:t>The format of this year’s survey follows the same format as previous years so that results can be compared with those from earlier surveys</w:t>
            </w:r>
            <w:r w:rsidR="001C52A6">
              <w:rPr>
                <w:rFonts w:ascii="Arial" w:hAnsi="Arial" w:cs="Arial"/>
                <w:szCs w:val="24"/>
              </w:rPr>
              <w:t>,</w:t>
            </w:r>
            <w:r w:rsidRPr="00256CC8">
              <w:rPr>
                <w:rFonts w:ascii="Arial" w:hAnsi="Arial" w:cs="Arial"/>
                <w:szCs w:val="24"/>
              </w:rPr>
              <w:t xml:space="preserve"> </w:t>
            </w:r>
            <w:r w:rsidR="001C52A6">
              <w:rPr>
                <w:rFonts w:ascii="Arial" w:hAnsi="Arial" w:cs="Arial"/>
                <w:szCs w:val="24"/>
              </w:rPr>
              <w:t xml:space="preserve">and management can </w:t>
            </w:r>
            <w:r w:rsidRPr="00256CC8">
              <w:rPr>
                <w:rFonts w:ascii="Arial" w:hAnsi="Arial" w:cs="Arial"/>
                <w:szCs w:val="24"/>
              </w:rPr>
              <w:t xml:space="preserve">review any trends </w:t>
            </w:r>
            <w:r w:rsidR="001C52A6">
              <w:rPr>
                <w:rFonts w:ascii="Arial" w:hAnsi="Arial" w:cs="Arial"/>
                <w:szCs w:val="24"/>
              </w:rPr>
              <w:t>or</w:t>
            </w:r>
            <w:r w:rsidRPr="00256CC8">
              <w:rPr>
                <w:rFonts w:ascii="Arial" w:hAnsi="Arial" w:cs="Arial"/>
                <w:szCs w:val="24"/>
              </w:rPr>
              <w:t xml:space="preserve"> see where there have been significant changes.</w:t>
            </w:r>
            <w:r w:rsidR="004B58CE">
              <w:rPr>
                <w:rFonts w:ascii="Arial" w:hAnsi="Arial" w:cs="Arial"/>
                <w:szCs w:val="24"/>
              </w:rPr>
              <w:t xml:space="preserve">  The resultant action plan will be reported to a future meeting of the Board.</w:t>
            </w:r>
          </w:p>
          <w:p w:rsidR="00256CC8" w:rsidRPr="00256CC8" w:rsidRDefault="00256CC8" w:rsidP="00256CC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6CC8" w:rsidTr="00F63B22">
        <w:trPr>
          <w:trHeight w:val="80"/>
        </w:trPr>
        <w:tc>
          <w:tcPr>
            <w:tcW w:w="959" w:type="dxa"/>
          </w:tcPr>
          <w:p w:rsidR="00256CC8" w:rsidRPr="001C52A6" w:rsidRDefault="001C52A6" w:rsidP="00C42FCC">
            <w:pPr>
              <w:rPr>
                <w:rFonts w:ascii="Arial" w:hAnsi="Arial" w:cs="Arial"/>
                <w:szCs w:val="24"/>
              </w:rPr>
            </w:pPr>
            <w:r w:rsidRPr="001C52A6">
              <w:rPr>
                <w:rFonts w:ascii="Arial" w:hAnsi="Arial" w:cs="Arial"/>
                <w:szCs w:val="24"/>
              </w:rPr>
              <w:t>5.3</w:t>
            </w:r>
          </w:p>
        </w:tc>
        <w:tc>
          <w:tcPr>
            <w:tcW w:w="8505" w:type="dxa"/>
          </w:tcPr>
          <w:p w:rsidR="00256CC8" w:rsidRDefault="00256CC8" w:rsidP="00256CC8">
            <w:pPr>
              <w:jc w:val="both"/>
              <w:rPr>
                <w:rFonts w:ascii="Arial" w:hAnsi="Arial" w:cs="Arial"/>
                <w:szCs w:val="24"/>
              </w:rPr>
            </w:pPr>
            <w:r w:rsidRPr="00256CC8">
              <w:rPr>
                <w:rFonts w:ascii="Arial" w:hAnsi="Arial" w:cs="Arial"/>
                <w:szCs w:val="24"/>
              </w:rPr>
              <w:t>Responses to the survey are strictly confidential and the outcome is anonymous statistics from which no individual’s response can be identified.</w:t>
            </w:r>
          </w:p>
          <w:p w:rsidR="00256CC8" w:rsidRPr="00256CC8" w:rsidRDefault="00256CC8" w:rsidP="00256CC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3B22" w:rsidTr="00F63B22">
        <w:trPr>
          <w:trHeight w:val="80"/>
        </w:trPr>
        <w:tc>
          <w:tcPr>
            <w:tcW w:w="959" w:type="dxa"/>
          </w:tcPr>
          <w:p w:rsidR="00F63B22" w:rsidRPr="0017031E" w:rsidRDefault="001C52A6" w:rsidP="009B3C20">
            <w:pPr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Cs w:val="24"/>
              </w:rPr>
              <w:t>6.</w:t>
            </w:r>
          </w:p>
        </w:tc>
        <w:tc>
          <w:tcPr>
            <w:tcW w:w="8505" w:type="dxa"/>
          </w:tcPr>
          <w:p w:rsidR="00F63B22" w:rsidRPr="0017031E" w:rsidRDefault="00F63B22" w:rsidP="00F63B22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17031E">
              <w:rPr>
                <w:rFonts w:ascii="Arial" w:hAnsi="Arial" w:cs="Arial"/>
                <w:b/>
                <w:szCs w:val="24"/>
              </w:rPr>
              <w:t>Policies update</w:t>
            </w:r>
          </w:p>
          <w:p w:rsidR="00F63B22" w:rsidRPr="0017031E" w:rsidRDefault="00F63B22" w:rsidP="00F63B22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F63B22" w:rsidTr="00F63B22">
        <w:trPr>
          <w:trHeight w:val="80"/>
        </w:trPr>
        <w:tc>
          <w:tcPr>
            <w:tcW w:w="959" w:type="dxa"/>
          </w:tcPr>
          <w:p w:rsidR="00F63B22" w:rsidRDefault="001C52A6" w:rsidP="009B3C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F63B22">
              <w:rPr>
                <w:rFonts w:ascii="Arial" w:hAnsi="Arial" w:cs="Arial"/>
                <w:szCs w:val="24"/>
              </w:rPr>
              <w:t>.1</w:t>
            </w:r>
          </w:p>
          <w:p w:rsidR="00F63B22" w:rsidRDefault="00F63B22" w:rsidP="009B3C20">
            <w:pPr>
              <w:rPr>
                <w:rFonts w:ascii="Arial" w:hAnsi="Arial" w:cs="Arial"/>
                <w:szCs w:val="24"/>
              </w:rPr>
            </w:pPr>
          </w:p>
          <w:p w:rsidR="00F63B22" w:rsidRDefault="00F63B22" w:rsidP="009B3C20">
            <w:pPr>
              <w:rPr>
                <w:rFonts w:ascii="Arial" w:hAnsi="Arial" w:cs="Arial"/>
                <w:szCs w:val="24"/>
              </w:rPr>
            </w:pPr>
          </w:p>
          <w:p w:rsidR="00F63B22" w:rsidRDefault="00F63B22" w:rsidP="009B3C20">
            <w:pPr>
              <w:rPr>
                <w:rFonts w:ascii="Arial" w:hAnsi="Arial" w:cs="Arial"/>
                <w:szCs w:val="24"/>
              </w:rPr>
            </w:pPr>
          </w:p>
          <w:p w:rsidR="00F63B22" w:rsidRDefault="00F63B22" w:rsidP="009B3C20">
            <w:pPr>
              <w:rPr>
                <w:rFonts w:ascii="Arial" w:hAnsi="Arial" w:cs="Arial"/>
                <w:szCs w:val="24"/>
              </w:rPr>
            </w:pPr>
          </w:p>
          <w:p w:rsidR="00F63B22" w:rsidRDefault="00F63B22" w:rsidP="009B3C20">
            <w:pPr>
              <w:rPr>
                <w:rFonts w:ascii="Arial" w:hAnsi="Arial" w:cs="Arial"/>
                <w:szCs w:val="24"/>
              </w:rPr>
            </w:pPr>
          </w:p>
          <w:p w:rsidR="00F63B22" w:rsidRPr="00FB7551" w:rsidRDefault="00F63B22" w:rsidP="009B3C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F63B22" w:rsidRPr="001C29E2" w:rsidRDefault="00F63B22" w:rsidP="009B3C20">
            <w:pPr>
              <w:jc w:val="both"/>
              <w:rPr>
                <w:rFonts w:ascii="Arial" w:hAnsi="Arial" w:cs="Arial"/>
                <w:szCs w:val="24"/>
              </w:rPr>
            </w:pPr>
            <w:r w:rsidRPr="001C29E2">
              <w:rPr>
                <w:rFonts w:ascii="Arial" w:hAnsi="Arial" w:cs="Arial"/>
                <w:szCs w:val="24"/>
              </w:rPr>
              <w:t xml:space="preserve">The following </w:t>
            </w:r>
            <w:r w:rsidR="000D616A">
              <w:rPr>
                <w:rFonts w:ascii="Arial" w:hAnsi="Arial" w:cs="Arial"/>
                <w:szCs w:val="24"/>
              </w:rPr>
              <w:t>four</w:t>
            </w:r>
            <w:r>
              <w:rPr>
                <w:rFonts w:ascii="Arial" w:hAnsi="Arial" w:cs="Arial"/>
                <w:szCs w:val="24"/>
              </w:rPr>
              <w:t xml:space="preserve"> policies have been considered in line with the review schedule.</w:t>
            </w:r>
            <w:r w:rsidR="007B5E32">
              <w:rPr>
                <w:rFonts w:ascii="Arial" w:hAnsi="Arial" w:cs="Arial"/>
                <w:szCs w:val="24"/>
              </w:rPr>
              <w:t xml:space="preserve"> Some of the policies have had minor amend</w:t>
            </w:r>
            <w:r w:rsidR="005D0401">
              <w:rPr>
                <w:rFonts w:ascii="Arial" w:hAnsi="Arial" w:cs="Arial"/>
                <w:szCs w:val="24"/>
              </w:rPr>
              <w:t>ment</w:t>
            </w:r>
            <w:r w:rsidR="007B5E32">
              <w:rPr>
                <w:rFonts w:ascii="Arial" w:hAnsi="Arial" w:cs="Arial"/>
                <w:szCs w:val="24"/>
              </w:rPr>
              <w:t>s in terms of personnel changes and referencing to HLH as a Charity.</w:t>
            </w:r>
          </w:p>
          <w:p w:rsidR="00F63B22" w:rsidRDefault="00F63B22" w:rsidP="009B3C20">
            <w:pPr>
              <w:jc w:val="both"/>
              <w:rPr>
                <w:rFonts w:ascii="Arial" w:hAnsi="Arial" w:cs="Arial"/>
                <w:szCs w:val="24"/>
              </w:rPr>
            </w:pPr>
          </w:p>
          <w:p w:rsidR="000D616A" w:rsidRPr="000D616A" w:rsidRDefault="000D616A" w:rsidP="00B143C6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0D616A">
              <w:rPr>
                <w:rFonts w:ascii="Arial" w:hAnsi="Arial" w:cs="Arial"/>
                <w:szCs w:val="24"/>
              </w:rPr>
              <w:t>Special Leave</w:t>
            </w:r>
          </w:p>
          <w:p w:rsidR="000D616A" w:rsidRPr="000D616A" w:rsidRDefault="000D616A" w:rsidP="00B143C6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0D616A">
              <w:rPr>
                <w:rFonts w:ascii="Arial" w:hAnsi="Arial" w:cs="Arial"/>
                <w:szCs w:val="24"/>
              </w:rPr>
              <w:t>Whistleblowing</w:t>
            </w:r>
          </w:p>
          <w:p w:rsidR="000D616A" w:rsidRPr="000D616A" w:rsidRDefault="000D616A" w:rsidP="00B143C6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0D616A">
              <w:rPr>
                <w:rFonts w:ascii="Arial" w:hAnsi="Arial" w:cs="Arial"/>
                <w:szCs w:val="24"/>
              </w:rPr>
              <w:t>Overtime</w:t>
            </w:r>
          </w:p>
          <w:p w:rsidR="000D616A" w:rsidRPr="000D616A" w:rsidRDefault="000D616A" w:rsidP="00B143C6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0D616A">
              <w:rPr>
                <w:rFonts w:ascii="Arial" w:hAnsi="Arial" w:cs="Arial"/>
                <w:szCs w:val="24"/>
              </w:rPr>
              <w:t>Redeployment &amp; Redundancy</w:t>
            </w:r>
          </w:p>
          <w:p w:rsidR="00F63B22" w:rsidRPr="00E61239" w:rsidRDefault="000D6CAA" w:rsidP="00E61239">
            <w:pPr>
              <w:ind w:left="360"/>
              <w:jc w:val="both"/>
              <w:rPr>
                <w:rFonts w:ascii="Arial" w:hAnsi="Arial" w:cs="Arial"/>
                <w:szCs w:val="24"/>
              </w:rPr>
            </w:pPr>
            <w:r w:rsidRPr="00E6123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B7A20" w:rsidRPr="00232563" w:rsidTr="006F3879">
        <w:trPr>
          <w:trHeight w:val="80"/>
        </w:trPr>
        <w:tc>
          <w:tcPr>
            <w:tcW w:w="959" w:type="dxa"/>
          </w:tcPr>
          <w:p w:rsidR="009B7A20" w:rsidRDefault="001C52A6" w:rsidP="005F2A1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="009B7A20">
              <w:rPr>
                <w:rFonts w:ascii="Arial" w:hAnsi="Arial" w:cs="Arial"/>
                <w:b/>
                <w:szCs w:val="24"/>
              </w:rPr>
              <w:t>.</w:t>
            </w:r>
          </w:p>
          <w:p w:rsidR="009B7A20" w:rsidRPr="007F57B7" w:rsidRDefault="009B7A20" w:rsidP="005F2A13">
            <w:pPr>
              <w:rPr>
                <w:rFonts w:ascii="Arial" w:hAnsi="Arial" w:cs="Arial"/>
                <w:b/>
                <w:szCs w:val="24"/>
              </w:rPr>
            </w:pPr>
          </w:p>
          <w:p w:rsidR="009B7A20" w:rsidRDefault="001C52A6" w:rsidP="005F2A1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9B7A20">
              <w:rPr>
                <w:rFonts w:ascii="Arial" w:hAnsi="Arial" w:cs="Arial"/>
                <w:szCs w:val="24"/>
              </w:rPr>
              <w:t>.1</w:t>
            </w:r>
          </w:p>
          <w:p w:rsidR="009B7A20" w:rsidRDefault="009B7A20" w:rsidP="005F2A13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5F2A13">
            <w:pPr>
              <w:rPr>
                <w:rFonts w:ascii="Arial" w:hAnsi="Arial" w:cs="Arial"/>
                <w:szCs w:val="24"/>
              </w:rPr>
            </w:pPr>
          </w:p>
          <w:p w:rsidR="009B7A20" w:rsidRDefault="001C52A6" w:rsidP="005F2A1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9B7A20">
              <w:rPr>
                <w:rFonts w:ascii="Arial" w:hAnsi="Arial" w:cs="Arial"/>
                <w:szCs w:val="24"/>
              </w:rPr>
              <w:t>.2</w:t>
            </w:r>
          </w:p>
          <w:p w:rsidR="009B7A20" w:rsidRDefault="009B7A20" w:rsidP="005F2A13">
            <w:pPr>
              <w:rPr>
                <w:rFonts w:ascii="Arial" w:hAnsi="Arial" w:cs="Arial"/>
                <w:szCs w:val="24"/>
              </w:rPr>
            </w:pPr>
          </w:p>
          <w:p w:rsidR="009B7A20" w:rsidRDefault="009B7A20" w:rsidP="005F2A13">
            <w:pPr>
              <w:rPr>
                <w:rFonts w:ascii="Arial" w:hAnsi="Arial" w:cs="Arial"/>
                <w:szCs w:val="24"/>
              </w:rPr>
            </w:pPr>
          </w:p>
          <w:p w:rsidR="009B7A20" w:rsidRDefault="001C52A6" w:rsidP="005F2A1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9B7A20">
              <w:rPr>
                <w:rFonts w:ascii="Arial" w:hAnsi="Arial" w:cs="Arial"/>
                <w:szCs w:val="24"/>
              </w:rPr>
              <w:t>.3</w:t>
            </w:r>
          </w:p>
          <w:p w:rsidR="009B7A20" w:rsidRDefault="009B7A20" w:rsidP="005F2A13">
            <w:pPr>
              <w:rPr>
                <w:rFonts w:ascii="Arial" w:hAnsi="Arial" w:cs="Arial"/>
                <w:szCs w:val="24"/>
              </w:rPr>
            </w:pPr>
          </w:p>
          <w:p w:rsidR="009B7A20" w:rsidRPr="00380CDF" w:rsidRDefault="009B7A20" w:rsidP="005F2A1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</w:tcPr>
          <w:p w:rsidR="009B7A20" w:rsidRDefault="009B7A20" w:rsidP="005F2A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51A5C">
              <w:rPr>
                <w:rFonts w:ascii="Arial" w:hAnsi="Arial" w:cs="Arial"/>
                <w:b/>
              </w:rPr>
              <w:t>Implications</w:t>
            </w:r>
          </w:p>
          <w:p w:rsidR="009B7A20" w:rsidRDefault="009B7A20" w:rsidP="005F2A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9B7A20" w:rsidRDefault="009B7A20" w:rsidP="005F2A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 Implications – there are no new resource implications arising from the recommendations of this report.</w:t>
            </w:r>
          </w:p>
          <w:p w:rsidR="009B7A20" w:rsidRDefault="009B7A20" w:rsidP="005F2A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9B7A20" w:rsidRDefault="009B7A20" w:rsidP="005F2A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Implications – there are no new legal implications arising from the recommendations of this report.</w:t>
            </w:r>
          </w:p>
          <w:p w:rsidR="009B7A20" w:rsidRPr="00232563" w:rsidRDefault="009B7A20" w:rsidP="00AB2B6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Implications – there are no new risks arising from the recommendations of this report.</w:t>
            </w:r>
          </w:p>
        </w:tc>
      </w:tr>
      <w:tr w:rsidR="009B7A20" w:rsidRPr="007214D1" w:rsidTr="005F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4" w:type="dxa"/>
            <w:gridSpan w:val="2"/>
          </w:tcPr>
          <w:p w:rsidR="009B7A20" w:rsidRDefault="009B7A20" w:rsidP="005F2A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  <w:r w:rsidRPr="009C18DA">
              <w:rPr>
                <w:rFonts w:ascii="Arial" w:hAnsi="Arial" w:cs="Arial"/>
                <w:b/>
                <w:szCs w:val="24"/>
              </w:rPr>
              <w:lastRenderedPageBreak/>
              <w:t>Recommendation</w:t>
            </w:r>
          </w:p>
          <w:p w:rsidR="009B7A20" w:rsidRDefault="009B7A20" w:rsidP="00383500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It is recommen</w:t>
            </w:r>
            <w:r w:rsidRPr="007D45D7">
              <w:rPr>
                <w:rFonts w:ascii="Arial" w:hAnsi="Arial" w:cs="Arial"/>
                <w:szCs w:val="24"/>
              </w:rPr>
              <w:t>ded that Directors</w:t>
            </w:r>
            <w:r w:rsidR="00255A31">
              <w:rPr>
                <w:rFonts w:ascii="Arial" w:hAnsi="Arial" w:cs="Arial"/>
                <w:szCs w:val="24"/>
              </w:rPr>
              <w:t>:</w:t>
            </w:r>
          </w:p>
          <w:p w:rsidR="009B7A20" w:rsidRPr="00C42FCC" w:rsidRDefault="00255A31" w:rsidP="00B143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 </w:t>
            </w:r>
            <w:r w:rsidR="009B7A20" w:rsidRPr="0030579B">
              <w:rPr>
                <w:rFonts w:ascii="Arial" w:hAnsi="Arial" w:cs="Arial"/>
                <w:sz w:val="24"/>
                <w:szCs w:val="24"/>
              </w:rPr>
              <w:t>and comment on the content of the quarterly HR report including the update on the staffing establishment</w:t>
            </w:r>
            <w:r w:rsidR="00C42FCC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C42FCC" w:rsidRPr="001C52A6" w:rsidRDefault="00C42FCC" w:rsidP="001C52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and comment on the outcomes of the short-term working group looking at staff health and wellbeing to date</w:t>
            </w:r>
            <w:r w:rsidR="001C52A6">
              <w:rPr>
                <w:rFonts w:ascii="Arial" w:hAnsi="Arial" w:cs="Arial"/>
                <w:sz w:val="24"/>
                <w:szCs w:val="24"/>
              </w:rPr>
              <w:t>; and</w:t>
            </w:r>
          </w:p>
          <w:p w:rsidR="001C52A6" w:rsidRPr="002C6BFA" w:rsidRDefault="001C52A6" w:rsidP="001C52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 the timings and process for this year’s staff survey </w:t>
            </w:r>
          </w:p>
        </w:tc>
      </w:tr>
    </w:tbl>
    <w:p w:rsidR="00794A0C" w:rsidRDefault="00794A0C" w:rsidP="00416BFF">
      <w:pPr>
        <w:rPr>
          <w:rFonts w:ascii="Arial" w:hAnsi="Arial" w:cs="Arial"/>
          <w:szCs w:val="24"/>
        </w:rPr>
      </w:pPr>
    </w:p>
    <w:p w:rsidR="008E3C2A" w:rsidRDefault="008E3C2A" w:rsidP="00416BFF">
      <w:pPr>
        <w:rPr>
          <w:rFonts w:ascii="Arial" w:hAnsi="Arial" w:cs="Arial"/>
          <w:szCs w:val="24"/>
        </w:rPr>
      </w:pPr>
    </w:p>
    <w:p w:rsidR="0039450A" w:rsidRPr="007214D1" w:rsidRDefault="0039450A" w:rsidP="00416BFF">
      <w:pPr>
        <w:rPr>
          <w:rFonts w:ascii="Arial" w:hAnsi="Arial" w:cs="Arial"/>
          <w:szCs w:val="24"/>
        </w:rPr>
      </w:pPr>
      <w:r w:rsidRPr="007214D1">
        <w:rPr>
          <w:rFonts w:ascii="Arial" w:hAnsi="Arial" w:cs="Arial"/>
          <w:szCs w:val="24"/>
        </w:rPr>
        <w:t>Designation:</w:t>
      </w:r>
      <w:r w:rsidR="0067538A">
        <w:rPr>
          <w:rFonts w:ascii="Arial" w:hAnsi="Arial" w:cs="Arial"/>
          <w:szCs w:val="24"/>
        </w:rPr>
        <w:tab/>
        <w:t>Chief Executive</w:t>
      </w:r>
    </w:p>
    <w:p w:rsidR="0039450A" w:rsidRPr="007214D1" w:rsidRDefault="0039450A" w:rsidP="00416BFF">
      <w:pPr>
        <w:rPr>
          <w:rFonts w:ascii="Arial" w:hAnsi="Arial" w:cs="Arial"/>
          <w:szCs w:val="24"/>
        </w:rPr>
      </w:pPr>
    </w:p>
    <w:p w:rsidR="00AB4988" w:rsidRDefault="0039450A" w:rsidP="00380CDF">
      <w:pPr>
        <w:rPr>
          <w:rFonts w:ascii="Arial" w:hAnsi="Arial" w:cs="Arial"/>
          <w:szCs w:val="24"/>
        </w:rPr>
      </w:pPr>
      <w:r w:rsidRPr="007214D1">
        <w:rPr>
          <w:rFonts w:ascii="Arial" w:hAnsi="Arial" w:cs="Arial"/>
          <w:szCs w:val="24"/>
        </w:rPr>
        <w:t>Date:</w:t>
      </w:r>
      <w:r w:rsidRPr="007214D1">
        <w:rPr>
          <w:rFonts w:ascii="Arial" w:hAnsi="Arial" w:cs="Arial"/>
          <w:szCs w:val="24"/>
        </w:rPr>
        <w:tab/>
      </w:r>
      <w:r w:rsidR="001A7AF1">
        <w:rPr>
          <w:rFonts w:ascii="Arial" w:hAnsi="Arial" w:cs="Arial"/>
          <w:szCs w:val="24"/>
        </w:rPr>
        <w:tab/>
      </w:r>
      <w:r w:rsidR="00B62B17">
        <w:rPr>
          <w:rFonts w:ascii="Arial" w:hAnsi="Arial" w:cs="Arial"/>
          <w:szCs w:val="24"/>
        </w:rPr>
        <w:t xml:space="preserve">8 </w:t>
      </w:r>
      <w:r w:rsidR="00C42FCC">
        <w:rPr>
          <w:rFonts w:ascii="Arial" w:hAnsi="Arial" w:cs="Arial"/>
          <w:szCs w:val="24"/>
        </w:rPr>
        <w:t xml:space="preserve">March </w:t>
      </w:r>
      <w:r w:rsidR="00B62B17">
        <w:rPr>
          <w:rFonts w:ascii="Arial" w:hAnsi="Arial" w:cs="Arial"/>
          <w:szCs w:val="24"/>
        </w:rPr>
        <w:t>2019</w:t>
      </w:r>
    </w:p>
    <w:p w:rsidR="00AB4988" w:rsidRDefault="00AB4988" w:rsidP="00380CDF">
      <w:pPr>
        <w:rPr>
          <w:rFonts w:ascii="Arial" w:hAnsi="Arial" w:cs="Arial"/>
          <w:szCs w:val="24"/>
        </w:rPr>
      </w:pPr>
    </w:p>
    <w:p w:rsidR="000B6190" w:rsidRDefault="000B6190" w:rsidP="00C8333C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  <w:r w:rsidR="00C8333C">
        <w:rPr>
          <w:rFonts w:ascii="Arial" w:hAnsi="Arial" w:cs="Arial"/>
          <w:b/>
          <w:szCs w:val="24"/>
        </w:rPr>
        <w:lastRenderedPageBreak/>
        <w:t>APPENDIX A</w:t>
      </w:r>
    </w:p>
    <w:p w:rsidR="00C8333C" w:rsidRDefault="00C8333C">
      <w:pPr>
        <w:rPr>
          <w:rFonts w:ascii="Arial" w:hAnsi="Arial" w:cs="Arial"/>
          <w:b/>
          <w:szCs w:val="24"/>
        </w:rPr>
      </w:pPr>
    </w:p>
    <w:p w:rsidR="00AB4988" w:rsidRDefault="00AB498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CHANGES TO STAFFING ESTABLISHMENT IN QUARTER </w:t>
      </w:r>
      <w:r w:rsidR="00C42FCC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 (</w:t>
      </w:r>
      <w:r w:rsidR="00C42FCC">
        <w:rPr>
          <w:rFonts w:ascii="Arial" w:hAnsi="Arial" w:cs="Arial"/>
          <w:b/>
          <w:szCs w:val="24"/>
        </w:rPr>
        <w:t>OCTOBER – DECEMBER 2019</w:t>
      </w:r>
    </w:p>
    <w:p w:rsidR="003B3A9B" w:rsidRDefault="003B3A9B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1701"/>
      </w:tblGrid>
      <w:tr w:rsidR="002B4037" w:rsidRPr="007F468C" w:rsidTr="00B143C6">
        <w:trPr>
          <w:trHeight w:val="308"/>
        </w:trPr>
        <w:tc>
          <w:tcPr>
            <w:tcW w:w="3652" w:type="dxa"/>
            <w:noWrap/>
          </w:tcPr>
          <w:p w:rsidR="002B4037" w:rsidRPr="002B4037" w:rsidRDefault="002B4037" w:rsidP="002B4037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  <w:r w:rsidRPr="002B4037">
              <w:rPr>
                <w:rFonts w:ascii="Arial" w:hAnsi="Arial" w:cs="Arial"/>
                <w:b/>
                <w:szCs w:val="24"/>
              </w:rPr>
              <w:t>Post</w:t>
            </w:r>
          </w:p>
        </w:tc>
        <w:tc>
          <w:tcPr>
            <w:tcW w:w="3544" w:type="dxa"/>
            <w:noWrap/>
          </w:tcPr>
          <w:p w:rsidR="002B4037" w:rsidRPr="002B4037" w:rsidRDefault="002B4037" w:rsidP="002B4037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  <w:r w:rsidRPr="002B4037">
              <w:rPr>
                <w:rFonts w:ascii="Arial" w:hAnsi="Arial" w:cs="Arial"/>
                <w:b/>
                <w:szCs w:val="24"/>
              </w:rPr>
              <w:t>Location</w:t>
            </w:r>
          </w:p>
        </w:tc>
        <w:tc>
          <w:tcPr>
            <w:tcW w:w="1701" w:type="dxa"/>
            <w:noWrap/>
          </w:tcPr>
          <w:p w:rsidR="002B4037" w:rsidRPr="002B4037" w:rsidRDefault="002B4037" w:rsidP="002B4037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  <w:r w:rsidRPr="002B4037">
              <w:rPr>
                <w:rFonts w:ascii="Arial" w:hAnsi="Arial" w:cs="Arial"/>
                <w:b/>
                <w:szCs w:val="24"/>
              </w:rPr>
              <w:t>FTE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Movers and Shakers Tutor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85761A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Inverness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85761A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+ </w:t>
            </w:r>
            <w:r w:rsidRPr="007F468C">
              <w:rPr>
                <w:rFonts w:ascii="Arial" w:hAnsi="Arial" w:cs="Arial"/>
                <w:szCs w:val="24"/>
              </w:rPr>
              <w:t>0.4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Music Instructor</w:t>
            </w:r>
          </w:p>
        </w:tc>
        <w:tc>
          <w:tcPr>
            <w:tcW w:w="3544" w:type="dxa"/>
            <w:noWrap/>
          </w:tcPr>
          <w:p w:rsidR="002B4037" w:rsidRPr="007F468C" w:rsidRDefault="002B4037" w:rsidP="0085761A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Various</w:t>
            </w:r>
          </w:p>
        </w:tc>
        <w:tc>
          <w:tcPr>
            <w:tcW w:w="1701" w:type="dxa"/>
            <w:noWrap/>
          </w:tcPr>
          <w:p w:rsidR="002B4037" w:rsidRPr="00B143C6" w:rsidRDefault="00B143C6" w:rsidP="00B143C6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B143C6">
              <w:rPr>
                <w:rFonts w:ascii="Arial" w:eastAsia="Calibri" w:hAnsi="Arial" w:cs="Arial"/>
                <w:szCs w:val="24"/>
                <w:lang w:eastAsia="en-US"/>
              </w:rPr>
              <w:t>-</w:t>
            </w:r>
            <w:r w:rsidRPr="00B143C6">
              <w:rPr>
                <w:rFonts w:ascii="Arial" w:hAnsi="Arial" w:cs="Arial"/>
                <w:szCs w:val="24"/>
              </w:rPr>
              <w:t xml:space="preserve"> </w:t>
            </w:r>
            <w:r w:rsidR="002B4037" w:rsidRPr="00B143C6">
              <w:rPr>
                <w:rFonts w:ascii="Arial" w:hAnsi="Arial" w:cs="Arial"/>
                <w:szCs w:val="24"/>
              </w:rPr>
              <w:t>0.2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Music Instructor Woodwind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Sutherland &amp; Ross-shire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+ </w:t>
            </w:r>
            <w:r w:rsidRPr="007F468C">
              <w:rPr>
                <w:rFonts w:ascii="Arial" w:hAnsi="Arial" w:cs="Arial"/>
                <w:szCs w:val="24"/>
              </w:rPr>
              <w:t>0.3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Leisure Assistant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 xml:space="preserve">raig MacLean Leisure Centre 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+ </w:t>
            </w:r>
            <w:r w:rsidRPr="007F468C">
              <w:rPr>
                <w:rFonts w:ascii="Arial" w:hAnsi="Arial" w:cs="Arial"/>
                <w:szCs w:val="24"/>
              </w:rPr>
              <w:t>0.168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Leisure Assistant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>raig MacLean Leisure Centre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-0.54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Leisure Assistant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>raig MacLean Leisure Centre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+ </w:t>
            </w:r>
            <w:r w:rsidRPr="007F468C">
              <w:rPr>
                <w:rFonts w:ascii="Arial" w:hAnsi="Arial" w:cs="Arial"/>
                <w:szCs w:val="24"/>
              </w:rPr>
              <w:t>0.376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Leisure Supervisor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Averon</w:t>
            </w:r>
            <w:r>
              <w:rPr>
                <w:rFonts w:ascii="Arial" w:hAnsi="Arial" w:cs="Arial"/>
                <w:szCs w:val="24"/>
              </w:rPr>
              <w:t xml:space="preserve"> Leisure Centre</w:t>
            </w:r>
            <w:r w:rsidRPr="007F468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-0.13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Leisure Supervisor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Averon</w:t>
            </w:r>
            <w:r>
              <w:rPr>
                <w:rFonts w:ascii="Arial" w:hAnsi="Arial" w:cs="Arial"/>
                <w:szCs w:val="24"/>
              </w:rPr>
              <w:t xml:space="preserve"> Leisure Centre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0.21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Leisure Supervisor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 xml:space="preserve">ast </w:t>
            </w: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 xml:space="preserve">aithness </w:t>
            </w: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 xml:space="preserve">ommunity </w:t>
            </w:r>
            <w:r w:rsidRPr="007F468C">
              <w:rPr>
                <w:rFonts w:ascii="Arial" w:hAnsi="Arial" w:cs="Arial"/>
                <w:szCs w:val="24"/>
              </w:rPr>
              <w:t>F</w:t>
            </w:r>
            <w:r>
              <w:rPr>
                <w:rFonts w:ascii="Arial" w:hAnsi="Arial" w:cs="Arial"/>
                <w:szCs w:val="24"/>
              </w:rPr>
              <w:t>acility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-0.26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Customer Service Assistant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 xml:space="preserve">ast </w:t>
            </w: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 xml:space="preserve">aithness </w:t>
            </w:r>
            <w:r w:rsidRPr="007F468C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 xml:space="preserve">ommunity </w:t>
            </w:r>
            <w:r w:rsidRPr="007F468C">
              <w:rPr>
                <w:rFonts w:ascii="Arial" w:hAnsi="Arial" w:cs="Arial"/>
                <w:szCs w:val="24"/>
              </w:rPr>
              <w:t>F</w:t>
            </w:r>
            <w:r>
              <w:rPr>
                <w:rFonts w:ascii="Arial" w:hAnsi="Arial" w:cs="Arial"/>
                <w:szCs w:val="24"/>
              </w:rPr>
              <w:t>acility</w:t>
            </w:r>
            <w:r w:rsidRPr="007F468C">
              <w:rPr>
                <w:rFonts w:ascii="Arial" w:hAnsi="Arial" w:cs="Arial"/>
                <w:szCs w:val="24"/>
              </w:rPr>
              <w:t xml:space="preserve"> ECCF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-0.06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Conservator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Highland Archive Centre</w:t>
            </w:r>
            <w:r w:rsidRPr="007F468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1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Project Conservator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Highland Archive Centre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-1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Trainee Conservator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Highland Archive Centre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-1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Horticultural Trainer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Inverness Botanic Gardens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-1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Head Gardener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Inverness Botanic Gardens &amp; Nursery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1</w:t>
            </w:r>
          </w:p>
        </w:tc>
      </w:tr>
      <w:tr w:rsidR="002B4037" w:rsidRPr="007F468C" w:rsidTr="007F468C">
        <w:trPr>
          <w:trHeight w:val="300"/>
        </w:trPr>
        <w:tc>
          <w:tcPr>
            <w:tcW w:w="3652" w:type="dxa"/>
            <w:noWrap/>
            <w:hideMark/>
          </w:tcPr>
          <w:p w:rsidR="002B4037" w:rsidRPr="007F468C" w:rsidRDefault="002B4037" w:rsidP="002B403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MacMillan Support Assistant</w:t>
            </w: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Inverness</w:t>
            </w: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  <w:r w:rsidRPr="007F468C">
              <w:rPr>
                <w:rFonts w:ascii="Arial" w:hAnsi="Arial" w:cs="Arial"/>
                <w:szCs w:val="24"/>
              </w:rPr>
              <w:t>1</w:t>
            </w:r>
          </w:p>
        </w:tc>
      </w:tr>
      <w:tr w:rsidR="002B4037" w:rsidRPr="007F468C" w:rsidTr="007F468C">
        <w:trPr>
          <w:trHeight w:val="312"/>
        </w:trPr>
        <w:tc>
          <w:tcPr>
            <w:tcW w:w="3652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B4037" w:rsidRPr="007F468C" w:rsidRDefault="002B4037" w:rsidP="007F468C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7F468C">
              <w:rPr>
                <w:rFonts w:ascii="Arial" w:hAnsi="Arial" w:cs="Arial"/>
                <w:b/>
                <w:bCs/>
                <w:szCs w:val="24"/>
              </w:rPr>
              <w:t>0.264</w:t>
            </w:r>
          </w:p>
        </w:tc>
      </w:tr>
    </w:tbl>
    <w:p w:rsidR="00897566" w:rsidRPr="00897566" w:rsidRDefault="00897566" w:rsidP="00244480">
      <w:pPr>
        <w:spacing w:after="200" w:line="276" w:lineRule="auto"/>
        <w:jc w:val="right"/>
        <w:rPr>
          <w:rFonts w:ascii="Arial" w:hAnsi="Arial" w:cs="Arial"/>
          <w:szCs w:val="24"/>
        </w:rPr>
      </w:pPr>
    </w:p>
    <w:p w:rsidR="00F839E2" w:rsidRDefault="00F839E2">
      <w:pPr>
        <w:rPr>
          <w:rFonts w:ascii="Arial" w:hAnsi="Arial" w:cs="Arial"/>
          <w:b/>
          <w:szCs w:val="24"/>
        </w:rPr>
      </w:pPr>
    </w:p>
    <w:sectPr w:rsidR="00F839E2" w:rsidSect="00544D61">
      <w:pgSz w:w="11906" w:h="16838"/>
      <w:pgMar w:top="851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0A" w:rsidRDefault="001C380A">
      <w:r>
        <w:separator/>
      </w:r>
    </w:p>
  </w:endnote>
  <w:endnote w:type="continuationSeparator" w:id="0">
    <w:p w:rsidR="001C380A" w:rsidRDefault="001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0A" w:rsidRDefault="001C380A">
      <w:r>
        <w:separator/>
      </w:r>
    </w:p>
  </w:footnote>
  <w:footnote w:type="continuationSeparator" w:id="0">
    <w:p w:rsidR="001C380A" w:rsidRDefault="001C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23D"/>
    <w:multiLevelType w:val="hybridMultilevel"/>
    <w:tmpl w:val="EBD264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C1BF0"/>
    <w:multiLevelType w:val="hybridMultilevel"/>
    <w:tmpl w:val="1C8E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C6913"/>
    <w:multiLevelType w:val="hybridMultilevel"/>
    <w:tmpl w:val="789E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858"/>
    <w:multiLevelType w:val="hybridMultilevel"/>
    <w:tmpl w:val="B6BE3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A3DAD"/>
    <w:multiLevelType w:val="hybridMultilevel"/>
    <w:tmpl w:val="EBD264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E7DB7"/>
    <w:multiLevelType w:val="hybridMultilevel"/>
    <w:tmpl w:val="3AE8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0A"/>
    <w:rsid w:val="00004D29"/>
    <w:rsid w:val="000125A3"/>
    <w:rsid w:val="00015F4F"/>
    <w:rsid w:val="00017D2E"/>
    <w:rsid w:val="00021173"/>
    <w:rsid w:val="0002128B"/>
    <w:rsid w:val="00026EA5"/>
    <w:rsid w:val="0003553F"/>
    <w:rsid w:val="00050D79"/>
    <w:rsid w:val="00052C00"/>
    <w:rsid w:val="00053FE4"/>
    <w:rsid w:val="00054DE1"/>
    <w:rsid w:val="000620A6"/>
    <w:rsid w:val="000764B4"/>
    <w:rsid w:val="00077197"/>
    <w:rsid w:val="000817F9"/>
    <w:rsid w:val="0008795E"/>
    <w:rsid w:val="00087CCD"/>
    <w:rsid w:val="00097529"/>
    <w:rsid w:val="000975F9"/>
    <w:rsid w:val="000A6A1A"/>
    <w:rsid w:val="000B0D29"/>
    <w:rsid w:val="000B6190"/>
    <w:rsid w:val="000B744A"/>
    <w:rsid w:val="000C6FDE"/>
    <w:rsid w:val="000C71AB"/>
    <w:rsid w:val="000D0794"/>
    <w:rsid w:val="000D245B"/>
    <w:rsid w:val="000D5427"/>
    <w:rsid w:val="000D616A"/>
    <w:rsid w:val="000D620F"/>
    <w:rsid w:val="000D6CAA"/>
    <w:rsid w:val="000D7731"/>
    <w:rsid w:val="000E00E2"/>
    <w:rsid w:val="000E0C6D"/>
    <w:rsid w:val="000E16F2"/>
    <w:rsid w:val="000E5B8A"/>
    <w:rsid w:val="000E6453"/>
    <w:rsid w:val="000F274B"/>
    <w:rsid w:val="000F5A33"/>
    <w:rsid w:val="000F6071"/>
    <w:rsid w:val="000F6FD8"/>
    <w:rsid w:val="000F7512"/>
    <w:rsid w:val="000F78D3"/>
    <w:rsid w:val="001065FE"/>
    <w:rsid w:val="001072B4"/>
    <w:rsid w:val="0010757C"/>
    <w:rsid w:val="001100A3"/>
    <w:rsid w:val="00116689"/>
    <w:rsid w:val="00120225"/>
    <w:rsid w:val="00124C17"/>
    <w:rsid w:val="00132839"/>
    <w:rsid w:val="00141185"/>
    <w:rsid w:val="00144164"/>
    <w:rsid w:val="001448BE"/>
    <w:rsid w:val="00153171"/>
    <w:rsid w:val="0015326F"/>
    <w:rsid w:val="0017031E"/>
    <w:rsid w:val="00177A7B"/>
    <w:rsid w:val="0018152E"/>
    <w:rsid w:val="00186DF3"/>
    <w:rsid w:val="00190BC9"/>
    <w:rsid w:val="00192FBE"/>
    <w:rsid w:val="001A7AF1"/>
    <w:rsid w:val="001B1FC0"/>
    <w:rsid w:val="001B55F1"/>
    <w:rsid w:val="001C15DE"/>
    <w:rsid w:val="001C29E2"/>
    <w:rsid w:val="001C380A"/>
    <w:rsid w:val="001C41BF"/>
    <w:rsid w:val="001C52A6"/>
    <w:rsid w:val="001D1D38"/>
    <w:rsid w:val="001D2FE9"/>
    <w:rsid w:val="001D541F"/>
    <w:rsid w:val="001E41AE"/>
    <w:rsid w:val="001F2FFC"/>
    <w:rsid w:val="002029D7"/>
    <w:rsid w:val="0021160B"/>
    <w:rsid w:val="00220164"/>
    <w:rsid w:val="00220978"/>
    <w:rsid w:val="00223DB5"/>
    <w:rsid w:val="002245D8"/>
    <w:rsid w:val="00227DC9"/>
    <w:rsid w:val="00232563"/>
    <w:rsid w:val="00240268"/>
    <w:rsid w:val="0024033E"/>
    <w:rsid w:val="00241F01"/>
    <w:rsid w:val="00244480"/>
    <w:rsid w:val="00247212"/>
    <w:rsid w:val="00255A31"/>
    <w:rsid w:val="00256CC8"/>
    <w:rsid w:val="0026117D"/>
    <w:rsid w:val="00261D72"/>
    <w:rsid w:val="00261E11"/>
    <w:rsid w:val="00262480"/>
    <w:rsid w:val="00263F37"/>
    <w:rsid w:val="002654E9"/>
    <w:rsid w:val="00265F13"/>
    <w:rsid w:val="00277B5F"/>
    <w:rsid w:val="00282805"/>
    <w:rsid w:val="002829AC"/>
    <w:rsid w:val="00284D5A"/>
    <w:rsid w:val="00286A03"/>
    <w:rsid w:val="00293E6F"/>
    <w:rsid w:val="002967A3"/>
    <w:rsid w:val="002A1B27"/>
    <w:rsid w:val="002A5188"/>
    <w:rsid w:val="002A57F2"/>
    <w:rsid w:val="002B0A2F"/>
    <w:rsid w:val="002B36C8"/>
    <w:rsid w:val="002B4037"/>
    <w:rsid w:val="002B7DC4"/>
    <w:rsid w:val="002C4B6B"/>
    <w:rsid w:val="002C60C2"/>
    <w:rsid w:val="002C6BFA"/>
    <w:rsid w:val="002D1539"/>
    <w:rsid w:val="002D5EDE"/>
    <w:rsid w:val="002D7DD6"/>
    <w:rsid w:val="002E0015"/>
    <w:rsid w:val="002E6C9F"/>
    <w:rsid w:val="002E7918"/>
    <w:rsid w:val="002F215D"/>
    <w:rsid w:val="002F4DC9"/>
    <w:rsid w:val="002F66DC"/>
    <w:rsid w:val="00303143"/>
    <w:rsid w:val="00304F4D"/>
    <w:rsid w:val="0030579B"/>
    <w:rsid w:val="003114C4"/>
    <w:rsid w:val="0031243E"/>
    <w:rsid w:val="00313EC9"/>
    <w:rsid w:val="00314658"/>
    <w:rsid w:val="00314D66"/>
    <w:rsid w:val="003251E1"/>
    <w:rsid w:val="00325295"/>
    <w:rsid w:val="0032786E"/>
    <w:rsid w:val="00344062"/>
    <w:rsid w:val="00344849"/>
    <w:rsid w:val="0034569A"/>
    <w:rsid w:val="00345B42"/>
    <w:rsid w:val="00347734"/>
    <w:rsid w:val="00354C5E"/>
    <w:rsid w:val="003551D4"/>
    <w:rsid w:val="00356B53"/>
    <w:rsid w:val="00360402"/>
    <w:rsid w:val="003649D9"/>
    <w:rsid w:val="003702A5"/>
    <w:rsid w:val="00371EFA"/>
    <w:rsid w:val="00372702"/>
    <w:rsid w:val="00373E7E"/>
    <w:rsid w:val="00380A34"/>
    <w:rsid w:val="00380CDF"/>
    <w:rsid w:val="00381B81"/>
    <w:rsid w:val="00383500"/>
    <w:rsid w:val="0038355A"/>
    <w:rsid w:val="003917DC"/>
    <w:rsid w:val="0039450A"/>
    <w:rsid w:val="003964ED"/>
    <w:rsid w:val="003A069E"/>
    <w:rsid w:val="003A19F1"/>
    <w:rsid w:val="003A4B9C"/>
    <w:rsid w:val="003A7DB0"/>
    <w:rsid w:val="003B3A9B"/>
    <w:rsid w:val="003B62D6"/>
    <w:rsid w:val="003C4EA9"/>
    <w:rsid w:val="003C7AFE"/>
    <w:rsid w:val="003D2CBE"/>
    <w:rsid w:val="003D5C03"/>
    <w:rsid w:val="003E0170"/>
    <w:rsid w:val="003E159A"/>
    <w:rsid w:val="003F321A"/>
    <w:rsid w:val="00403CDA"/>
    <w:rsid w:val="00405EBC"/>
    <w:rsid w:val="00407982"/>
    <w:rsid w:val="004115FF"/>
    <w:rsid w:val="004120A6"/>
    <w:rsid w:val="00413B84"/>
    <w:rsid w:val="00416BFF"/>
    <w:rsid w:val="0042698E"/>
    <w:rsid w:val="00432FF9"/>
    <w:rsid w:val="004375DD"/>
    <w:rsid w:val="004403F8"/>
    <w:rsid w:val="0044083B"/>
    <w:rsid w:val="004438C9"/>
    <w:rsid w:val="00444E77"/>
    <w:rsid w:val="00445A72"/>
    <w:rsid w:val="0045580C"/>
    <w:rsid w:val="00455913"/>
    <w:rsid w:val="0045618C"/>
    <w:rsid w:val="00460DE4"/>
    <w:rsid w:val="00462977"/>
    <w:rsid w:val="00465229"/>
    <w:rsid w:val="00466CDA"/>
    <w:rsid w:val="00474274"/>
    <w:rsid w:val="00477C58"/>
    <w:rsid w:val="0048062D"/>
    <w:rsid w:val="004843C9"/>
    <w:rsid w:val="00484E83"/>
    <w:rsid w:val="004A5372"/>
    <w:rsid w:val="004A5E30"/>
    <w:rsid w:val="004A7F5F"/>
    <w:rsid w:val="004B2287"/>
    <w:rsid w:val="004B58CE"/>
    <w:rsid w:val="004B6573"/>
    <w:rsid w:val="004B7E68"/>
    <w:rsid w:val="004C1ADD"/>
    <w:rsid w:val="004C3A30"/>
    <w:rsid w:val="004C4336"/>
    <w:rsid w:val="004D02E4"/>
    <w:rsid w:val="004D6EED"/>
    <w:rsid w:val="004D776E"/>
    <w:rsid w:val="004E08EF"/>
    <w:rsid w:val="004E241D"/>
    <w:rsid w:val="004E5019"/>
    <w:rsid w:val="004F08B1"/>
    <w:rsid w:val="004F2C6F"/>
    <w:rsid w:val="004F64EA"/>
    <w:rsid w:val="00501B18"/>
    <w:rsid w:val="00503FD6"/>
    <w:rsid w:val="005047A4"/>
    <w:rsid w:val="005047F6"/>
    <w:rsid w:val="0050754F"/>
    <w:rsid w:val="0051080D"/>
    <w:rsid w:val="0051107E"/>
    <w:rsid w:val="00511496"/>
    <w:rsid w:val="005123FB"/>
    <w:rsid w:val="005179D9"/>
    <w:rsid w:val="00521295"/>
    <w:rsid w:val="005258F0"/>
    <w:rsid w:val="00526DF1"/>
    <w:rsid w:val="0053594A"/>
    <w:rsid w:val="00544A3E"/>
    <w:rsid w:val="00544D61"/>
    <w:rsid w:val="005540B4"/>
    <w:rsid w:val="0055493F"/>
    <w:rsid w:val="00555643"/>
    <w:rsid w:val="00563DC7"/>
    <w:rsid w:val="00570EC5"/>
    <w:rsid w:val="00570FC5"/>
    <w:rsid w:val="00571309"/>
    <w:rsid w:val="00571965"/>
    <w:rsid w:val="00576B2E"/>
    <w:rsid w:val="00581032"/>
    <w:rsid w:val="00590C36"/>
    <w:rsid w:val="00592045"/>
    <w:rsid w:val="00592F39"/>
    <w:rsid w:val="0059426B"/>
    <w:rsid w:val="005950EE"/>
    <w:rsid w:val="005B4C3A"/>
    <w:rsid w:val="005B6EDC"/>
    <w:rsid w:val="005C565B"/>
    <w:rsid w:val="005C6B41"/>
    <w:rsid w:val="005C76D1"/>
    <w:rsid w:val="005C7755"/>
    <w:rsid w:val="005D0401"/>
    <w:rsid w:val="005D450E"/>
    <w:rsid w:val="005D4C2B"/>
    <w:rsid w:val="005D56E3"/>
    <w:rsid w:val="005D58DB"/>
    <w:rsid w:val="005D6F6C"/>
    <w:rsid w:val="005E23D5"/>
    <w:rsid w:val="005E442C"/>
    <w:rsid w:val="005E5FCC"/>
    <w:rsid w:val="005E74DC"/>
    <w:rsid w:val="005E77BC"/>
    <w:rsid w:val="005F09BC"/>
    <w:rsid w:val="005F24B2"/>
    <w:rsid w:val="005F268F"/>
    <w:rsid w:val="005F296B"/>
    <w:rsid w:val="005F2A13"/>
    <w:rsid w:val="005F4B50"/>
    <w:rsid w:val="0060090F"/>
    <w:rsid w:val="00600CE7"/>
    <w:rsid w:val="00605C08"/>
    <w:rsid w:val="0060608D"/>
    <w:rsid w:val="00610457"/>
    <w:rsid w:val="006130E7"/>
    <w:rsid w:val="006207E6"/>
    <w:rsid w:val="00623941"/>
    <w:rsid w:val="006314BD"/>
    <w:rsid w:val="00647FE6"/>
    <w:rsid w:val="00660A42"/>
    <w:rsid w:val="00663093"/>
    <w:rsid w:val="006658B6"/>
    <w:rsid w:val="00665BD4"/>
    <w:rsid w:val="0067538A"/>
    <w:rsid w:val="00682545"/>
    <w:rsid w:val="00682E0E"/>
    <w:rsid w:val="00690634"/>
    <w:rsid w:val="006925F5"/>
    <w:rsid w:val="00693BFC"/>
    <w:rsid w:val="00694065"/>
    <w:rsid w:val="006A1248"/>
    <w:rsid w:val="006A164D"/>
    <w:rsid w:val="006A3AC2"/>
    <w:rsid w:val="006A7897"/>
    <w:rsid w:val="006B06E6"/>
    <w:rsid w:val="006B3C26"/>
    <w:rsid w:val="006B590D"/>
    <w:rsid w:val="006B6421"/>
    <w:rsid w:val="006B67F8"/>
    <w:rsid w:val="006C09E9"/>
    <w:rsid w:val="006C0AEA"/>
    <w:rsid w:val="006C2F41"/>
    <w:rsid w:val="006C36C3"/>
    <w:rsid w:val="006C7C0A"/>
    <w:rsid w:val="006D0028"/>
    <w:rsid w:val="006D3293"/>
    <w:rsid w:val="006D44D7"/>
    <w:rsid w:val="006F3879"/>
    <w:rsid w:val="006F4934"/>
    <w:rsid w:val="006F5801"/>
    <w:rsid w:val="006F5F8F"/>
    <w:rsid w:val="00703673"/>
    <w:rsid w:val="007053BE"/>
    <w:rsid w:val="00705B99"/>
    <w:rsid w:val="00707C87"/>
    <w:rsid w:val="00710B7E"/>
    <w:rsid w:val="00711367"/>
    <w:rsid w:val="007127E4"/>
    <w:rsid w:val="00717E7E"/>
    <w:rsid w:val="00720B5B"/>
    <w:rsid w:val="007214D1"/>
    <w:rsid w:val="00721569"/>
    <w:rsid w:val="0072257C"/>
    <w:rsid w:val="00725270"/>
    <w:rsid w:val="00726B31"/>
    <w:rsid w:val="00727D67"/>
    <w:rsid w:val="007310D7"/>
    <w:rsid w:val="00731E93"/>
    <w:rsid w:val="00742B9E"/>
    <w:rsid w:val="0074360E"/>
    <w:rsid w:val="00751A5C"/>
    <w:rsid w:val="00754394"/>
    <w:rsid w:val="00755820"/>
    <w:rsid w:val="00766BAD"/>
    <w:rsid w:val="00766EF9"/>
    <w:rsid w:val="00772596"/>
    <w:rsid w:val="00776348"/>
    <w:rsid w:val="00782718"/>
    <w:rsid w:val="00783F85"/>
    <w:rsid w:val="00784401"/>
    <w:rsid w:val="0078733B"/>
    <w:rsid w:val="00791D36"/>
    <w:rsid w:val="00794A0C"/>
    <w:rsid w:val="007A2F50"/>
    <w:rsid w:val="007A3904"/>
    <w:rsid w:val="007B3C3E"/>
    <w:rsid w:val="007B3DC7"/>
    <w:rsid w:val="007B5E32"/>
    <w:rsid w:val="007B64B5"/>
    <w:rsid w:val="007C13C5"/>
    <w:rsid w:val="007C60A1"/>
    <w:rsid w:val="007C7B5A"/>
    <w:rsid w:val="007D4675"/>
    <w:rsid w:val="007E7860"/>
    <w:rsid w:val="007F0BFD"/>
    <w:rsid w:val="007F17B4"/>
    <w:rsid w:val="007F468C"/>
    <w:rsid w:val="007F57B7"/>
    <w:rsid w:val="007F78AE"/>
    <w:rsid w:val="00804BA5"/>
    <w:rsid w:val="00805D7B"/>
    <w:rsid w:val="00810982"/>
    <w:rsid w:val="00816302"/>
    <w:rsid w:val="00823029"/>
    <w:rsid w:val="00825FD9"/>
    <w:rsid w:val="00826907"/>
    <w:rsid w:val="00830CD4"/>
    <w:rsid w:val="00834A8E"/>
    <w:rsid w:val="00834E2D"/>
    <w:rsid w:val="008363B0"/>
    <w:rsid w:val="00841643"/>
    <w:rsid w:val="00841F81"/>
    <w:rsid w:val="0084209E"/>
    <w:rsid w:val="00843EEF"/>
    <w:rsid w:val="00847811"/>
    <w:rsid w:val="00867BF5"/>
    <w:rsid w:val="00896987"/>
    <w:rsid w:val="00897566"/>
    <w:rsid w:val="008A0E3E"/>
    <w:rsid w:val="008A1F14"/>
    <w:rsid w:val="008A3FB6"/>
    <w:rsid w:val="008A57F3"/>
    <w:rsid w:val="008B4E68"/>
    <w:rsid w:val="008C03E3"/>
    <w:rsid w:val="008C1B47"/>
    <w:rsid w:val="008C3C98"/>
    <w:rsid w:val="008D5929"/>
    <w:rsid w:val="008D61AA"/>
    <w:rsid w:val="008D64EF"/>
    <w:rsid w:val="008E16E5"/>
    <w:rsid w:val="008E3C2A"/>
    <w:rsid w:val="008F41D8"/>
    <w:rsid w:val="008F5A22"/>
    <w:rsid w:val="008F66E6"/>
    <w:rsid w:val="008F74CA"/>
    <w:rsid w:val="00902A9A"/>
    <w:rsid w:val="00905E89"/>
    <w:rsid w:val="00912498"/>
    <w:rsid w:val="00920271"/>
    <w:rsid w:val="00920970"/>
    <w:rsid w:val="00924053"/>
    <w:rsid w:val="00931E33"/>
    <w:rsid w:val="00935BDF"/>
    <w:rsid w:val="00941073"/>
    <w:rsid w:val="009430F2"/>
    <w:rsid w:val="009526B8"/>
    <w:rsid w:val="00962E81"/>
    <w:rsid w:val="00976F24"/>
    <w:rsid w:val="00985181"/>
    <w:rsid w:val="00985CFD"/>
    <w:rsid w:val="00985DE5"/>
    <w:rsid w:val="00987DFB"/>
    <w:rsid w:val="00990CFB"/>
    <w:rsid w:val="00991247"/>
    <w:rsid w:val="00995C74"/>
    <w:rsid w:val="0099723B"/>
    <w:rsid w:val="009A09D4"/>
    <w:rsid w:val="009A2020"/>
    <w:rsid w:val="009B7A20"/>
    <w:rsid w:val="009C0A57"/>
    <w:rsid w:val="009C1F2A"/>
    <w:rsid w:val="009C631C"/>
    <w:rsid w:val="009C6666"/>
    <w:rsid w:val="009C6DDB"/>
    <w:rsid w:val="009C7634"/>
    <w:rsid w:val="009C77CF"/>
    <w:rsid w:val="009D078F"/>
    <w:rsid w:val="009D3236"/>
    <w:rsid w:val="009D691A"/>
    <w:rsid w:val="009D6A45"/>
    <w:rsid w:val="009D6FD0"/>
    <w:rsid w:val="009D7511"/>
    <w:rsid w:val="009E0A66"/>
    <w:rsid w:val="009E1C50"/>
    <w:rsid w:val="009E5EB5"/>
    <w:rsid w:val="009E7291"/>
    <w:rsid w:val="009E7E1D"/>
    <w:rsid w:val="009F0139"/>
    <w:rsid w:val="009F4896"/>
    <w:rsid w:val="00A01760"/>
    <w:rsid w:val="00A035C1"/>
    <w:rsid w:val="00A03B68"/>
    <w:rsid w:val="00A06051"/>
    <w:rsid w:val="00A067FA"/>
    <w:rsid w:val="00A06B88"/>
    <w:rsid w:val="00A06F5D"/>
    <w:rsid w:val="00A1003D"/>
    <w:rsid w:val="00A105B9"/>
    <w:rsid w:val="00A15484"/>
    <w:rsid w:val="00A1733F"/>
    <w:rsid w:val="00A252F3"/>
    <w:rsid w:val="00A265AA"/>
    <w:rsid w:val="00A27D3B"/>
    <w:rsid w:val="00A3006B"/>
    <w:rsid w:val="00A33E17"/>
    <w:rsid w:val="00A34C35"/>
    <w:rsid w:val="00A36747"/>
    <w:rsid w:val="00A44B54"/>
    <w:rsid w:val="00A44C7B"/>
    <w:rsid w:val="00A45F54"/>
    <w:rsid w:val="00A47A09"/>
    <w:rsid w:val="00A47AAF"/>
    <w:rsid w:val="00A506DE"/>
    <w:rsid w:val="00A60358"/>
    <w:rsid w:val="00A701E8"/>
    <w:rsid w:val="00A75273"/>
    <w:rsid w:val="00A813FC"/>
    <w:rsid w:val="00A8159A"/>
    <w:rsid w:val="00A852FC"/>
    <w:rsid w:val="00A95347"/>
    <w:rsid w:val="00AA15DA"/>
    <w:rsid w:val="00AA6A6A"/>
    <w:rsid w:val="00AB2B69"/>
    <w:rsid w:val="00AB3D83"/>
    <w:rsid w:val="00AB4988"/>
    <w:rsid w:val="00AB5455"/>
    <w:rsid w:val="00AC5BBD"/>
    <w:rsid w:val="00AD0D67"/>
    <w:rsid w:val="00AD33D1"/>
    <w:rsid w:val="00AE3455"/>
    <w:rsid w:val="00AE44B9"/>
    <w:rsid w:val="00AF02B6"/>
    <w:rsid w:val="00AF5408"/>
    <w:rsid w:val="00AF60F3"/>
    <w:rsid w:val="00B0019E"/>
    <w:rsid w:val="00B06F13"/>
    <w:rsid w:val="00B143C6"/>
    <w:rsid w:val="00B15C2E"/>
    <w:rsid w:val="00B21BA2"/>
    <w:rsid w:val="00B237C2"/>
    <w:rsid w:val="00B26FB4"/>
    <w:rsid w:val="00B32ECC"/>
    <w:rsid w:val="00B356DC"/>
    <w:rsid w:val="00B35E26"/>
    <w:rsid w:val="00B3785C"/>
    <w:rsid w:val="00B4511E"/>
    <w:rsid w:val="00B45128"/>
    <w:rsid w:val="00B47D2F"/>
    <w:rsid w:val="00B50D69"/>
    <w:rsid w:val="00B50E9D"/>
    <w:rsid w:val="00B547EA"/>
    <w:rsid w:val="00B56CDC"/>
    <w:rsid w:val="00B61410"/>
    <w:rsid w:val="00B6149F"/>
    <w:rsid w:val="00B62B17"/>
    <w:rsid w:val="00B76CAE"/>
    <w:rsid w:val="00B84929"/>
    <w:rsid w:val="00B859CD"/>
    <w:rsid w:val="00B86838"/>
    <w:rsid w:val="00B87B5D"/>
    <w:rsid w:val="00B90704"/>
    <w:rsid w:val="00BA01AD"/>
    <w:rsid w:val="00BA0979"/>
    <w:rsid w:val="00BA2BC7"/>
    <w:rsid w:val="00BB4A08"/>
    <w:rsid w:val="00BC1EB4"/>
    <w:rsid w:val="00BD48D1"/>
    <w:rsid w:val="00BD7355"/>
    <w:rsid w:val="00BE477C"/>
    <w:rsid w:val="00BE6360"/>
    <w:rsid w:val="00C02142"/>
    <w:rsid w:val="00C14B28"/>
    <w:rsid w:val="00C15B6B"/>
    <w:rsid w:val="00C173F4"/>
    <w:rsid w:val="00C214F8"/>
    <w:rsid w:val="00C3461A"/>
    <w:rsid w:val="00C351C8"/>
    <w:rsid w:val="00C360E6"/>
    <w:rsid w:val="00C42FCC"/>
    <w:rsid w:val="00C44DE0"/>
    <w:rsid w:val="00C456FE"/>
    <w:rsid w:val="00C55881"/>
    <w:rsid w:val="00C60663"/>
    <w:rsid w:val="00C61237"/>
    <w:rsid w:val="00C71EF3"/>
    <w:rsid w:val="00C72B73"/>
    <w:rsid w:val="00C75691"/>
    <w:rsid w:val="00C8005D"/>
    <w:rsid w:val="00C8211A"/>
    <w:rsid w:val="00C82A93"/>
    <w:rsid w:val="00C8333C"/>
    <w:rsid w:val="00C84BD3"/>
    <w:rsid w:val="00C973BB"/>
    <w:rsid w:val="00C978E0"/>
    <w:rsid w:val="00CA4B02"/>
    <w:rsid w:val="00CA6AB3"/>
    <w:rsid w:val="00CB5374"/>
    <w:rsid w:val="00CB56B9"/>
    <w:rsid w:val="00CB7017"/>
    <w:rsid w:val="00CD2306"/>
    <w:rsid w:val="00CD3985"/>
    <w:rsid w:val="00CE68AE"/>
    <w:rsid w:val="00D00039"/>
    <w:rsid w:val="00D00618"/>
    <w:rsid w:val="00D022B2"/>
    <w:rsid w:val="00D03451"/>
    <w:rsid w:val="00D038C4"/>
    <w:rsid w:val="00D03E5F"/>
    <w:rsid w:val="00D05169"/>
    <w:rsid w:val="00D11FA1"/>
    <w:rsid w:val="00D12180"/>
    <w:rsid w:val="00D20EFC"/>
    <w:rsid w:val="00D230BF"/>
    <w:rsid w:val="00D23370"/>
    <w:rsid w:val="00D23435"/>
    <w:rsid w:val="00D30472"/>
    <w:rsid w:val="00D3078D"/>
    <w:rsid w:val="00D44B45"/>
    <w:rsid w:val="00D45787"/>
    <w:rsid w:val="00D4627A"/>
    <w:rsid w:val="00D46356"/>
    <w:rsid w:val="00D47C49"/>
    <w:rsid w:val="00D57CDF"/>
    <w:rsid w:val="00D6031D"/>
    <w:rsid w:val="00D604A7"/>
    <w:rsid w:val="00D655B8"/>
    <w:rsid w:val="00D658D1"/>
    <w:rsid w:val="00D65A67"/>
    <w:rsid w:val="00D66EB1"/>
    <w:rsid w:val="00D66EB7"/>
    <w:rsid w:val="00D71DD2"/>
    <w:rsid w:val="00D74F5F"/>
    <w:rsid w:val="00D75611"/>
    <w:rsid w:val="00D75FE6"/>
    <w:rsid w:val="00D75FFC"/>
    <w:rsid w:val="00D842DB"/>
    <w:rsid w:val="00D906F4"/>
    <w:rsid w:val="00D92CE0"/>
    <w:rsid w:val="00D93D96"/>
    <w:rsid w:val="00DA1988"/>
    <w:rsid w:val="00DB3601"/>
    <w:rsid w:val="00DB3CD6"/>
    <w:rsid w:val="00DC01DD"/>
    <w:rsid w:val="00DC17DA"/>
    <w:rsid w:val="00DC4937"/>
    <w:rsid w:val="00DD0516"/>
    <w:rsid w:val="00DD0581"/>
    <w:rsid w:val="00DD3547"/>
    <w:rsid w:val="00DD3B83"/>
    <w:rsid w:val="00DD5D75"/>
    <w:rsid w:val="00DD614F"/>
    <w:rsid w:val="00DD6371"/>
    <w:rsid w:val="00DE07A3"/>
    <w:rsid w:val="00DE1942"/>
    <w:rsid w:val="00DE1E6C"/>
    <w:rsid w:val="00DE2B44"/>
    <w:rsid w:val="00DE2E0D"/>
    <w:rsid w:val="00DE5F32"/>
    <w:rsid w:val="00DF1F68"/>
    <w:rsid w:val="00DF3520"/>
    <w:rsid w:val="00DF462B"/>
    <w:rsid w:val="00DF55D6"/>
    <w:rsid w:val="00DF6E1D"/>
    <w:rsid w:val="00E0196C"/>
    <w:rsid w:val="00E04193"/>
    <w:rsid w:val="00E10E07"/>
    <w:rsid w:val="00E11B89"/>
    <w:rsid w:val="00E11BD9"/>
    <w:rsid w:val="00E1395A"/>
    <w:rsid w:val="00E16021"/>
    <w:rsid w:val="00E16703"/>
    <w:rsid w:val="00E216D0"/>
    <w:rsid w:val="00E25B8B"/>
    <w:rsid w:val="00E25FDA"/>
    <w:rsid w:val="00E26CEE"/>
    <w:rsid w:val="00E3069B"/>
    <w:rsid w:val="00E345B1"/>
    <w:rsid w:val="00E355EE"/>
    <w:rsid w:val="00E42F84"/>
    <w:rsid w:val="00E45F94"/>
    <w:rsid w:val="00E523CD"/>
    <w:rsid w:val="00E52B44"/>
    <w:rsid w:val="00E52BA0"/>
    <w:rsid w:val="00E61239"/>
    <w:rsid w:val="00E66429"/>
    <w:rsid w:val="00E74E2C"/>
    <w:rsid w:val="00E75F39"/>
    <w:rsid w:val="00E75F6B"/>
    <w:rsid w:val="00E92F59"/>
    <w:rsid w:val="00EA6559"/>
    <w:rsid w:val="00EA6C6E"/>
    <w:rsid w:val="00EB228F"/>
    <w:rsid w:val="00EB2A40"/>
    <w:rsid w:val="00EC095C"/>
    <w:rsid w:val="00EC259F"/>
    <w:rsid w:val="00EC47E3"/>
    <w:rsid w:val="00EC6323"/>
    <w:rsid w:val="00ED2EFE"/>
    <w:rsid w:val="00ED6A31"/>
    <w:rsid w:val="00ED7383"/>
    <w:rsid w:val="00EE4C7B"/>
    <w:rsid w:val="00EE63AE"/>
    <w:rsid w:val="00EF3BF8"/>
    <w:rsid w:val="00EF45E6"/>
    <w:rsid w:val="00EF4F9D"/>
    <w:rsid w:val="00F00F06"/>
    <w:rsid w:val="00F06261"/>
    <w:rsid w:val="00F1364E"/>
    <w:rsid w:val="00F20271"/>
    <w:rsid w:val="00F2111F"/>
    <w:rsid w:val="00F25E7E"/>
    <w:rsid w:val="00F32954"/>
    <w:rsid w:val="00F370F9"/>
    <w:rsid w:val="00F42CF3"/>
    <w:rsid w:val="00F469C4"/>
    <w:rsid w:val="00F503ED"/>
    <w:rsid w:val="00F55F2F"/>
    <w:rsid w:val="00F60031"/>
    <w:rsid w:val="00F63B22"/>
    <w:rsid w:val="00F63E64"/>
    <w:rsid w:val="00F76AA4"/>
    <w:rsid w:val="00F77121"/>
    <w:rsid w:val="00F839E2"/>
    <w:rsid w:val="00F858E0"/>
    <w:rsid w:val="00FA053D"/>
    <w:rsid w:val="00FA5259"/>
    <w:rsid w:val="00FA5C28"/>
    <w:rsid w:val="00FA7DA7"/>
    <w:rsid w:val="00FB0F87"/>
    <w:rsid w:val="00FB17D4"/>
    <w:rsid w:val="00FB7551"/>
    <w:rsid w:val="00FC0CB0"/>
    <w:rsid w:val="00FC1D3E"/>
    <w:rsid w:val="00FC2545"/>
    <w:rsid w:val="00FC2B80"/>
    <w:rsid w:val="00FC52DF"/>
    <w:rsid w:val="00FD2BFB"/>
    <w:rsid w:val="00FD3F7E"/>
    <w:rsid w:val="00FE4D79"/>
    <w:rsid w:val="00FE65CF"/>
    <w:rsid w:val="00FF110F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56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60DE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0D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5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2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23C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C6B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03F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03F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0B6190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paragraph" w:customStyle="1" w:styleId="Default">
    <w:name w:val="Default"/>
    <w:rsid w:val="000B61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9D7511"/>
    <w:rPr>
      <w:sz w:val="24"/>
    </w:rPr>
  </w:style>
  <w:style w:type="character" w:customStyle="1" w:styleId="Heading2Char">
    <w:name w:val="Heading 2 Char"/>
    <w:basedOn w:val="DefaultParagraphFont"/>
    <w:link w:val="Heading2"/>
    <w:rsid w:val="00AF60F3"/>
    <w:rPr>
      <w:sz w:val="24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8975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56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60DE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0D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5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2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23C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C6B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03F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03F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0B6190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paragraph" w:customStyle="1" w:styleId="Default">
    <w:name w:val="Default"/>
    <w:rsid w:val="000B61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9D7511"/>
    <w:rPr>
      <w:sz w:val="24"/>
    </w:rPr>
  </w:style>
  <w:style w:type="character" w:customStyle="1" w:styleId="Heading2Char">
    <w:name w:val="Heading 2 Char"/>
    <w:basedOn w:val="DefaultParagraphFont"/>
    <w:link w:val="Heading2"/>
    <w:rsid w:val="00AF60F3"/>
    <w:rPr>
      <w:sz w:val="24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8975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EE14-EB48-4BFD-9E77-8B5EDE95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1725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.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creator>donnamd</dc:creator>
  <cp:lastModifiedBy>Jackie MacKenzie - ECS</cp:lastModifiedBy>
  <cp:revision>14</cp:revision>
  <cp:lastPrinted>2018-08-17T14:39:00Z</cp:lastPrinted>
  <dcterms:created xsi:type="dcterms:W3CDTF">2019-02-08T14:43:00Z</dcterms:created>
  <dcterms:modified xsi:type="dcterms:W3CDTF">2019-03-08T10:05:00Z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1788717457</vt:i4>
  </property>
  <property fmtid="{D5CDD505-2E9C-101B-9397-08002B2CF9AE}" pid="3" name="_NewReviewCycle">
    <vt:lpwstr/>
  </property>
  <property fmtid="{D5CDD505-2E9C-101B-9397-08002B2CF9AE}" pid="4" name="_EmailSubject">
    <vt:lpwstr>HLH BOARD - WEB UPLOADS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  <property fmtid="{D5CDD505-2E9C-101B-9397-08002B2CF9AE}" pid="7" name="_PreviousAdHocReviewCycleID">
    <vt:i4>1902912727</vt:i4>
  </property>
</Properties>
</file>