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B9" w:rsidRPr="00987187" w:rsidRDefault="007521A6">
      <w:pPr>
        <w:rPr>
          <w:rFonts w:ascii="Arial" w:hAnsi="Arial" w:cs="Arial"/>
        </w:rPr>
      </w:pPr>
      <w:r w:rsidRPr="00987187">
        <w:rPr>
          <w:rFonts w:ascii="Arial" w:hAnsi="Arial" w:cs="Arial"/>
        </w:rPr>
        <w:t>AGENDA ITEM</w:t>
      </w:r>
      <w:r w:rsidR="001526F3" w:rsidRPr="00987187">
        <w:rPr>
          <w:rFonts w:ascii="Arial" w:hAnsi="Arial" w:cs="Arial"/>
        </w:rPr>
        <w:t xml:space="preserve"> </w:t>
      </w:r>
    </w:p>
    <w:p w:rsidR="00F23DCB" w:rsidRPr="00987187" w:rsidRDefault="00C06F21">
      <w:pPr>
        <w:rPr>
          <w:rFonts w:ascii="Arial" w:hAnsi="Arial" w:cs="Arial"/>
        </w:rPr>
      </w:pPr>
      <w:r w:rsidRPr="00987187">
        <w:rPr>
          <w:rFonts w:ascii="Arial" w:hAnsi="Arial" w:cs="Arial"/>
        </w:rPr>
        <w:t xml:space="preserve">Matters Arising </w:t>
      </w:r>
      <w:r w:rsidR="00DA1139" w:rsidRPr="00987187">
        <w:rPr>
          <w:rFonts w:ascii="Arial" w:hAnsi="Arial" w:cs="Arial"/>
        </w:rPr>
        <w:t>From HLH Board Meeting</w:t>
      </w:r>
      <w:r w:rsidRPr="00987187">
        <w:rPr>
          <w:rFonts w:ascii="Arial" w:hAnsi="Arial" w:cs="Arial"/>
        </w:rPr>
        <w:t xml:space="preserve"> </w:t>
      </w:r>
      <w:r w:rsidR="00AC0FD7">
        <w:rPr>
          <w:rFonts w:ascii="Arial" w:hAnsi="Arial" w:cs="Arial"/>
        </w:rPr>
        <w:t>4 September 2018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48"/>
        <w:gridCol w:w="6807"/>
        <w:gridCol w:w="1142"/>
        <w:gridCol w:w="1276"/>
      </w:tblGrid>
      <w:tr w:rsidR="00C06F21" w:rsidRPr="00987187" w:rsidTr="000C7720">
        <w:trPr>
          <w:trHeight w:val="399"/>
        </w:trPr>
        <w:tc>
          <w:tcPr>
            <w:tcW w:w="948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ITEM</w:t>
            </w:r>
          </w:p>
        </w:tc>
        <w:tc>
          <w:tcPr>
            <w:tcW w:w="6807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DETAIL</w:t>
            </w:r>
          </w:p>
        </w:tc>
        <w:tc>
          <w:tcPr>
            <w:tcW w:w="1142" w:type="dxa"/>
          </w:tcPr>
          <w:p w:rsidR="00C06F21" w:rsidRPr="00987187" w:rsidRDefault="00DF1780" w:rsidP="00DA1139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LEAD</w:t>
            </w:r>
          </w:p>
        </w:tc>
        <w:tc>
          <w:tcPr>
            <w:tcW w:w="1276" w:type="dxa"/>
          </w:tcPr>
          <w:p w:rsidR="00C06F21" w:rsidRPr="00987187" w:rsidRDefault="00DF1780" w:rsidP="00D20B18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DUE DATE</w:t>
            </w:r>
          </w:p>
        </w:tc>
      </w:tr>
      <w:tr w:rsidR="00C134B6" w:rsidRPr="00987187" w:rsidTr="000C7720">
        <w:tc>
          <w:tcPr>
            <w:tcW w:w="948" w:type="dxa"/>
          </w:tcPr>
          <w:p w:rsidR="00C134B6" w:rsidRDefault="00AC0FD7" w:rsidP="00C13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807" w:type="dxa"/>
          </w:tcPr>
          <w:p w:rsidR="00366C9E" w:rsidRDefault="00AC0FD7" w:rsidP="00C134B6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Mrs Ella MacRae appointed as the second Director to the Health and Safety and Environmental Compliance Committee</w:t>
            </w:r>
          </w:p>
          <w:p w:rsidR="00366C9E" w:rsidRDefault="00AC0FD7" w:rsidP="00C134B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Membership of Committees, Working Groups and Project Boards document updated within Directors Governance Handbook.</w:t>
            </w:r>
          </w:p>
          <w:p w:rsidR="00827282" w:rsidRPr="00366C9E" w:rsidRDefault="00827282" w:rsidP="00C134B6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42" w:type="dxa"/>
          </w:tcPr>
          <w:p w:rsidR="00C134B6" w:rsidRPr="00127CF6" w:rsidRDefault="00C134B6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IM</w:t>
            </w:r>
          </w:p>
        </w:tc>
        <w:tc>
          <w:tcPr>
            <w:tcW w:w="1276" w:type="dxa"/>
          </w:tcPr>
          <w:p w:rsidR="00C134B6" w:rsidRPr="00127CF6" w:rsidRDefault="00C134B6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</w:p>
          <w:p w:rsidR="00366C9E" w:rsidRPr="00127CF6" w:rsidRDefault="00AC0FD7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C134B6" w:rsidRPr="00987187" w:rsidTr="000C7720">
        <w:tc>
          <w:tcPr>
            <w:tcW w:w="948" w:type="dxa"/>
          </w:tcPr>
          <w:p w:rsidR="00AC0FD7" w:rsidRDefault="00AC0FD7" w:rsidP="00C41F97">
            <w:pPr>
              <w:rPr>
                <w:rFonts w:ascii="Arial" w:hAnsi="Arial" w:cs="Arial"/>
              </w:rPr>
            </w:pPr>
          </w:p>
          <w:p w:rsidR="00C134B6" w:rsidRDefault="00AC0FD7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7i.</w:t>
            </w:r>
          </w:p>
        </w:tc>
        <w:tc>
          <w:tcPr>
            <w:tcW w:w="6807" w:type="dxa"/>
          </w:tcPr>
          <w:p w:rsidR="00366C9E" w:rsidRDefault="005F29CE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Annual </w:t>
            </w:r>
            <w:r w:rsidR="00AC0FD7">
              <w:rPr>
                <w:rFonts w:ascii="Arial" w:hAnsi="Arial" w:cs="Arial"/>
                <w:color w:val="000000" w:themeColor="text1"/>
              </w:rPr>
              <w:t>Report and Accounts to 31 March 2018</w:t>
            </w:r>
          </w:p>
          <w:p w:rsidR="00827282" w:rsidRDefault="00116DFC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Final approval of the AR and Accounts delegated to the Chair of the Board, in consultation with the Chair of the Finance and Audit Committee and the Chief Executive</w:t>
            </w:r>
            <w:r w:rsidR="00932F95">
              <w:rPr>
                <w:rFonts w:ascii="Arial" w:hAnsi="Arial" w:cs="Arial"/>
                <w:color w:val="000000" w:themeColor="text1"/>
              </w:rPr>
              <w:t xml:space="preserve"> and external auditor.</w:t>
            </w:r>
          </w:p>
          <w:p w:rsidR="00116DFC" w:rsidRPr="00C44130" w:rsidRDefault="00932F95" w:rsidP="00932F95">
            <w:pPr>
              <w:jc w:val="both"/>
              <w:rPr>
                <w:i/>
                <w:color w:val="1F497D"/>
              </w:rPr>
            </w:pPr>
            <w:r w:rsidRPr="00932F95">
              <w:rPr>
                <w:rFonts w:ascii="Arial" w:hAnsi="Arial" w:cs="Arial"/>
                <w:i/>
              </w:rPr>
              <w:t xml:space="preserve">Final approval of the AR and Accounts given as agreed following the late adjustment to the valuation of the pension fund.  </w:t>
            </w:r>
          </w:p>
        </w:tc>
        <w:tc>
          <w:tcPr>
            <w:tcW w:w="1142" w:type="dxa"/>
          </w:tcPr>
          <w:p w:rsidR="00C134B6" w:rsidRPr="00127CF6" w:rsidRDefault="00C134B6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Default="00366C9E" w:rsidP="00006EE9">
            <w:pPr>
              <w:rPr>
                <w:rFonts w:ascii="Arial" w:hAnsi="Arial" w:cs="Arial"/>
              </w:rPr>
            </w:pPr>
          </w:p>
          <w:p w:rsidR="00932F95" w:rsidRDefault="00932F95" w:rsidP="00006EE9">
            <w:pPr>
              <w:rPr>
                <w:rFonts w:ascii="Arial" w:hAnsi="Arial" w:cs="Arial"/>
              </w:rPr>
            </w:pPr>
          </w:p>
          <w:p w:rsidR="00932F95" w:rsidRPr="00127CF6" w:rsidRDefault="00932F95" w:rsidP="00006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</w:t>
            </w:r>
          </w:p>
          <w:p w:rsidR="00366C9E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134B6" w:rsidRPr="00127CF6" w:rsidRDefault="00C134B6" w:rsidP="00D20B18">
            <w:pPr>
              <w:rPr>
                <w:rFonts w:ascii="Arial" w:hAnsi="Arial" w:cs="Arial"/>
              </w:rPr>
            </w:pPr>
          </w:p>
          <w:p w:rsidR="005F29CE" w:rsidRDefault="005F29CE" w:rsidP="00D20B18">
            <w:pPr>
              <w:rPr>
                <w:rFonts w:ascii="Arial" w:hAnsi="Arial" w:cs="Arial"/>
              </w:rPr>
            </w:pPr>
          </w:p>
          <w:p w:rsidR="00116DFC" w:rsidRDefault="00116DFC" w:rsidP="00D20B18">
            <w:pPr>
              <w:rPr>
                <w:rFonts w:ascii="Arial" w:hAnsi="Arial" w:cs="Arial"/>
              </w:rPr>
            </w:pPr>
          </w:p>
          <w:p w:rsidR="00932F95" w:rsidRDefault="00932F95" w:rsidP="00D20B18">
            <w:pPr>
              <w:rPr>
                <w:rFonts w:ascii="Arial" w:hAnsi="Arial" w:cs="Arial"/>
              </w:rPr>
            </w:pPr>
          </w:p>
          <w:p w:rsidR="00932F95" w:rsidRPr="00127CF6" w:rsidRDefault="00932F95" w:rsidP="00D20B18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Complete</w:t>
            </w:r>
          </w:p>
        </w:tc>
      </w:tr>
      <w:tr w:rsidR="003C31BE" w:rsidRPr="00987187" w:rsidTr="000C7720">
        <w:tc>
          <w:tcPr>
            <w:tcW w:w="948" w:type="dxa"/>
          </w:tcPr>
          <w:p w:rsidR="003C31BE" w:rsidRDefault="003C31BE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807" w:type="dxa"/>
          </w:tcPr>
          <w:p w:rsidR="003C31BE" w:rsidRDefault="003C31BE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High Life Highland Board</w:t>
            </w:r>
          </w:p>
          <w:p w:rsidR="003C31BE" w:rsidRDefault="003C31BE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HLH Board 4 September 2018 noted Miss Jenny Welch and Mr Ian Ross (as longest serving director) would retire with effect from 2019 AGM</w:t>
            </w:r>
            <w:r w:rsidR="00510A3E">
              <w:rPr>
                <w:rFonts w:ascii="Arial" w:hAnsi="Arial" w:cs="Arial"/>
                <w:color w:val="000000" w:themeColor="text1"/>
              </w:rPr>
              <w:t xml:space="preserve"> with Mr Ross seeking reappointment.</w:t>
            </w:r>
          </w:p>
          <w:p w:rsidR="00510A3E" w:rsidRDefault="00510A3E" w:rsidP="00AC0FD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Following the Board meeting Mr Donald Somerville tendered his resignation as a Director of HLH with immediate effect, this meaning Mr Ian Ross </w:t>
            </w:r>
            <w:r w:rsidR="000F2466">
              <w:rPr>
                <w:rFonts w:ascii="Arial" w:hAnsi="Arial" w:cs="Arial"/>
                <w:i/>
                <w:color w:val="000000" w:themeColor="text1"/>
              </w:rPr>
              <w:t xml:space="preserve">is 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no longer required to stand down. </w:t>
            </w:r>
          </w:p>
          <w:p w:rsidR="00510A3E" w:rsidRDefault="00510A3E" w:rsidP="00AC0FD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The recruitment process for two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</w:rPr>
              <w:t>replacement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</w:rPr>
              <w:t xml:space="preserve"> independent Directors is underway and interviews and appointments are scheduled for </w:t>
            </w:r>
            <w:r w:rsidR="008447CC">
              <w:rPr>
                <w:rFonts w:ascii="Arial" w:hAnsi="Arial" w:cs="Arial"/>
                <w:i/>
                <w:color w:val="000000" w:themeColor="text1"/>
              </w:rPr>
              <w:t>February/March 2019</w:t>
            </w:r>
            <w:r>
              <w:rPr>
                <w:rFonts w:ascii="Arial" w:hAnsi="Arial" w:cs="Arial"/>
                <w:i/>
                <w:color w:val="000000" w:themeColor="text1"/>
              </w:rPr>
              <w:t>.</w:t>
            </w:r>
          </w:p>
          <w:p w:rsidR="00932F95" w:rsidRPr="00510A3E" w:rsidRDefault="00932F95" w:rsidP="00AC0FD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142" w:type="dxa"/>
          </w:tcPr>
          <w:p w:rsidR="003C31BE" w:rsidRPr="00932F95" w:rsidRDefault="003C31B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</w:p>
          <w:p w:rsidR="00510A3E" w:rsidRPr="00932F95" w:rsidRDefault="00510A3E" w:rsidP="00006EE9">
            <w:pPr>
              <w:rPr>
                <w:rFonts w:ascii="Arial" w:hAnsi="Arial" w:cs="Arial"/>
              </w:rPr>
            </w:pPr>
            <w:r w:rsidRPr="00932F95">
              <w:rPr>
                <w:rFonts w:ascii="Arial" w:hAnsi="Arial" w:cs="Arial"/>
              </w:rPr>
              <w:t>IM</w:t>
            </w:r>
          </w:p>
        </w:tc>
        <w:tc>
          <w:tcPr>
            <w:tcW w:w="1276" w:type="dxa"/>
          </w:tcPr>
          <w:p w:rsidR="003C31BE" w:rsidRPr="00932F95" w:rsidRDefault="003C31B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</w:p>
          <w:p w:rsidR="00510A3E" w:rsidRPr="00932F95" w:rsidRDefault="00510A3E" w:rsidP="00D20B18">
            <w:pPr>
              <w:rPr>
                <w:rFonts w:ascii="Arial" w:hAnsi="Arial" w:cs="Arial"/>
              </w:rPr>
            </w:pPr>
            <w:r w:rsidRPr="00932F95">
              <w:rPr>
                <w:rFonts w:ascii="Arial" w:hAnsi="Arial" w:cs="Arial"/>
              </w:rPr>
              <w:t>March 2019</w:t>
            </w:r>
          </w:p>
        </w:tc>
      </w:tr>
      <w:tr w:rsidR="00116DFC" w:rsidRPr="00987187" w:rsidTr="000C7720">
        <w:tc>
          <w:tcPr>
            <w:tcW w:w="948" w:type="dxa"/>
          </w:tcPr>
          <w:p w:rsidR="00116DFC" w:rsidRDefault="00116DFC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12iv</w:t>
            </w:r>
          </w:p>
        </w:tc>
        <w:tc>
          <w:tcPr>
            <w:tcW w:w="6807" w:type="dxa"/>
          </w:tcPr>
          <w:p w:rsidR="00116DFC" w:rsidRPr="000C7720" w:rsidRDefault="00116DFC" w:rsidP="000C772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C7720">
              <w:rPr>
                <w:rFonts w:ascii="Arial" w:hAnsi="Arial" w:cs="Arial"/>
                <w:color w:val="000000" w:themeColor="text1"/>
              </w:rPr>
              <w:t>Performance Report</w:t>
            </w:r>
          </w:p>
          <w:p w:rsidR="00116DFC" w:rsidRPr="000C7720" w:rsidRDefault="005B60A9" w:rsidP="000C772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C7720">
              <w:rPr>
                <w:rFonts w:ascii="Arial" w:hAnsi="Arial" w:cs="Arial"/>
                <w:color w:val="000000" w:themeColor="text1"/>
              </w:rPr>
              <w:t>Following the introduction of amended opening hours in libraries and a resultant increase in visitor numbers, i</w:t>
            </w:r>
            <w:r w:rsidR="00116DFC" w:rsidRPr="000C7720">
              <w:rPr>
                <w:rFonts w:ascii="Arial" w:hAnsi="Arial" w:cs="Arial"/>
                <w:color w:val="000000" w:themeColor="text1"/>
              </w:rPr>
              <w:t xml:space="preserve">nformation </w:t>
            </w:r>
            <w:r w:rsidRPr="000C7720">
              <w:rPr>
                <w:rFonts w:ascii="Arial" w:hAnsi="Arial" w:cs="Arial"/>
                <w:color w:val="000000" w:themeColor="text1"/>
              </w:rPr>
              <w:t>requested</w:t>
            </w:r>
            <w:r w:rsidR="00116DFC" w:rsidRPr="000C7720">
              <w:rPr>
                <w:rFonts w:ascii="Arial" w:hAnsi="Arial" w:cs="Arial"/>
                <w:color w:val="000000" w:themeColor="text1"/>
              </w:rPr>
              <w:t xml:space="preserve"> as to how amended working hours </w:t>
            </w:r>
            <w:r w:rsidRPr="000C7720">
              <w:rPr>
                <w:rFonts w:ascii="Arial" w:hAnsi="Arial" w:cs="Arial"/>
                <w:color w:val="000000" w:themeColor="text1"/>
              </w:rPr>
              <w:t>might</w:t>
            </w:r>
            <w:r w:rsidR="00116DFC" w:rsidRPr="000C7720">
              <w:rPr>
                <w:rFonts w:ascii="Arial" w:hAnsi="Arial" w:cs="Arial"/>
                <w:color w:val="000000" w:themeColor="text1"/>
              </w:rPr>
              <w:t xml:space="preserve"> increase visitor numbers.</w:t>
            </w:r>
          </w:p>
          <w:p w:rsidR="005B6250" w:rsidRPr="000C7720" w:rsidRDefault="00F01A22" w:rsidP="000C7720">
            <w:pPr>
              <w:jc w:val="both"/>
              <w:rPr>
                <w:rFonts w:ascii="Arial" w:hAnsi="Arial" w:cs="Arial"/>
                <w:i/>
              </w:rPr>
            </w:pPr>
            <w:r w:rsidRPr="000C7720">
              <w:rPr>
                <w:rFonts w:ascii="Arial" w:hAnsi="Arial" w:cs="Arial"/>
                <w:i/>
              </w:rPr>
              <w:t>There is a rolling programme of individual libraries undertaking</w:t>
            </w:r>
            <w:r w:rsidR="005B6250" w:rsidRPr="000C7720">
              <w:rPr>
                <w:rFonts w:ascii="Arial" w:hAnsi="Arial" w:cs="Arial"/>
                <w:i/>
              </w:rPr>
              <w:t xml:space="preserve"> local community consultation/engagement </w:t>
            </w:r>
            <w:r w:rsidRPr="000C7720">
              <w:rPr>
                <w:rFonts w:ascii="Arial" w:hAnsi="Arial" w:cs="Arial"/>
                <w:i/>
              </w:rPr>
              <w:t>to</w:t>
            </w:r>
            <w:r w:rsidR="005B6250" w:rsidRPr="000C7720">
              <w:rPr>
                <w:rFonts w:ascii="Arial" w:hAnsi="Arial" w:cs="Arial"/>
                <w:i/>
              </w:rPr>
              <w:t xml:space="preserve"> realign </w:t>
            </w:r>
            <w:r w:rsidRPr="000C7720">
              <w:rPr>
                <w:rFonts w:ascii="Arial" w:hAnsi="Arial" w:cs="Arial"/>
                <w:i/>
              </w:rPr>
              <w:t xml:space="preserve">opening </w:t>
            </w:r>
            <w:r w:rsidR="005B6250" w:rsidRPr="000C7720">
              <w:rPr>
                <w:rFonts w:ascii="Arial" w:hAnsi="Arial" w:cs="Arial"/>
                <w:i/>
              </w:rPr>
              <w:t>hours to meet local needs</w:t>
            </w:r>
            <w:r w:rsidRPr="000C7720">
              <w:rPr>
                <w:rFonts w:ascii="Arial" w:hAnsi="Arial" w:cs="Arial"/>
                <w:i/>
              </w:rPr>
              <w:t xml:space="preserve"> and therefore to attract additional users</w:t>
            </w:r>
            <w:r w:rsidR="005B6250" w:rsidRPr="000C7720">
              <w:rPr>
                <w:rFonts w:ascii="Arial" w:hAnsi="Arial" w:cs="Arial"/>
                <w:i/>
              </w:rPr>
              <w:t xml:space="preserve">. </w:t>
            </w:r>
          </w:p>
          <w:p w:rsidR="005B6250" w:rsidRPr="000C7720" w:rsidRDefault="005B6250" w:rsidP="000C7720">
            <w:pPr>
              <w:jc w:val="both"/>
              <w:rPr>
                <w:rFonts w:ascii="Arial" w:hAnsi="Arial" w:cs="Arial"/>
                <w:i/>
              </w:rPr>
            </w:pPr>
          </w:p>
          <w:p w:rsidR="005B60A9" w:rsidRDefault="00F01A22" w:rsidP="000C7720">
            <w:pPr>
              <w:jc w:val="both"/>
              <w:rPr>
                <w:rFonts w:ascii="Arial" w:hAnsi="Arial" w:cs="Arial"/>
                <w:i/>
              </w:rPr>
            </w:pPr>
            <w:r w:rsidRPr="000C7720">
              <w:rPr>
                <w:rFonts w:ascii="Arial" w:hAnsi="Arial" w:cs="Arial"/>
                <w:i/>
              </w:rPr>
              <w:t>The next round of</w:t>
            </w:r>
            <w:r w:rsidR="005B6250" w:rsidRPr="000C7720">
              <w:rPr>
                <w:rFonts w:ascii="Arial" w:hAnsi="Arial" w:cs="Arial"/>
                <w:i/>
              </w:rPr>
              <w:t xml:space="preserve"> consultations </w:t>
            </w:r>
            <w:r w:rsidRPr="000C7720">
              <w:rPr>
                <w:rFonts w:ascii="Arial" w:hAnsi="Arial" w:cs="Arial"/>
                <w:i/>
              </w:rPr>
              <w:t>will take place over the w</w:t>
            </w:r>
            <w:r w:rsidR="005B6250" w:rsidRPr="000C7720">
              <w:rPr>
                <w:rFonts w:ascii="Arial" w:hAnsi="Arial" w:cs="Arial"/>
                <w:i/>
              </w:rPr>
              <w:t xml:space="preserve">inter period </w:t>
            </w:r>
            <w:r w:rsidRPr="000C7720">
              <w:rPr>
                <w:rFonts w:ascii="Arial" w:hAnsi="Arial" w:cs="Arial"/>
                <w:i/>
              </w:rPr>
              <w:t xml:space="preserve">around 11 libraries, </w:t>
            </w:r>
            <w:r w:rsidR="005B6250" w:rsidRPr="000C7720">
              <w:rPr>
                <w:rFonts w:ascii="Arial" w:hAnsi="Arial" w:cs="Arial"/>
                <w:i/>
              </w:rPr>
              <w:t xml:space="preserve">to </w:t>
            </w:r>
            <w:r w:rsidRPr="000C7720">
              <w:rPr>
                <w:rFonts w:ascii="Arial" w:hAnsi="Arial" w:cs="Arial"/>
                <w:i/>
              </w:rPr>
              <w:t xml:space="preserve">allow </w:t>
            </w:r>
            <w:r w:rsidR="005B6250" w:rsidRPr="000C7720">
              <w:rPr>
                <w:rFonts w:ascii="Arial" w:hAnsi="Arial" w:cs="Arial"/>
                <w:i/>
              </w:rPr>
              <w:t>the changes</w:t>
            </w:r>
            <w:r w:rsidRPr="000C7720">
              <w:rPr>
                <w:rFonts w:ascii="Arial" w:hAnsi="Arial" w:cs="Arial"/>
                <w:i/>
              </w:rPr>
              <w:t xml:space="preserve"> to be introduced</w:t>
            </w:r>
            <w:r w:rsidR="005B6250" w:rsidRPr="000C7720">
              <w:rPr>
                <w:rFonts w:ascii="Arial" w:hAnsi="Arial" w:cs="Arial"/>
                <w:i/>
              </w:rPr>
              <w:t xml:space="preserve"> in the Spring. </w:t>
            </w:r>
            <w:r w:rsidRPr="000C7720">
              <w:rPr>
                <w:rFonts w:ascii="Arial" w:hAnsi="Arial" w:cs="Arial"/>
                <w:i/>
              </w:rPr>
              <w:t xml:space="preserve">Included in the consultations will be </w:t>
            </w:r>
            <w:r w:rsidR="005B6250" w:rsidRPr="000C7720">
              <w:rPr>
                <w:rFonts w:ascii="Arial" w:hAnsi="Arial" w:cs="Arial"/>
                <w:i/>
              </w:rPr>
              <w:t>representatives from local groups including nurseries, playgroups and care homes.</w:t>
            </w:r>
            <w:r w:rsidR="000C7720" w:rsidRPr="000C7720">
              <w:rPr>
                <w:rFonts w:ascii="Arial" w:hAnsi="Arial" w:cs="Arial"/>
                <w:i/>
              </w:rPr>
              <w:t xml:space="preserve">  The 11 libraries are </w:t>
            </w:r>
            <w:r w:rsidR="005B6250" w:rsidRPr="000C7720">
              <w:rPr>
                <w:rFonts w:ascii="Arial" w:hAnsi="Arial" w:cs="Arial"/>
                <w:i/>
              </w:rPr>
              <w:t>Achiltibuie</w:t>
            </w:r>
            <w:r w:rsidR="000C7720" w:rsidRPr="000C7720">
              <w:rPr>
                <w:rFonts w:ascii="Arial" w:hAnsi="Arial" w:cs="Arial"/>
                <w:i/>
              </w:rPr>
              <w:t>;</w:t>
            </w:r>
            <w:r w:rsidRPr="000C7720">
              <w:rPr>
                <w:rFonts w:ascii="Arial" w:hAnsi="Arial" w:cs="Arial"/>
                <w:i/>
              </w:rPr>
              <w:t xml:space="preserve"> B</w:t>
            </w:r>
            <w:r w:rsidR="005B6250" w:rsidRPr="000C7720">
              <w:rPr>
                <w:rFonts w:ascii="Arial" w:hAnsi="Arial" w:cs="Arial"/>
                <w:i/>
              </w:rPr>
              <w:t>eauly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Bettyhill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Bonar Bridge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Brora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Cromarty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Dornoch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Fortrose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Helmsdale</w:t>
            </w:r>
            <w:r w:rsidRPr="000C7720">
              <w:rPr>
                <w:rFonts w:ascii="Arial" w:hAnsi="Arial" w:cs="Arial"/>
                <w:i/>
              </w:rPr>
              <w:t xml:space="preserve">; </w:t>
            </w:r>
            <w:r w:rsidR="005B6250" w:rsidRPr="000C7720">
              <w:rPr>
                <w:rFonts w:ascii="Arial" w:hAnsi="Arial" w:cs="Arial"/>
                <w:i/>
              </w:rPr>
              <w:t>Lochcarron</w:t>
            </w:r>
            <w:r w:rsidRPr="000C7720">
              <w:rPr>
                <w:rFonts w:ascii="Arial" w:hAnsi="Arial" w:cs="Arial"/>
                <w:i/>
              </w:rPr>
              <w:t xml:space="preserve">; and </w:t>
            </w:r>
            <w:r w:rsidR="005B6250" w:rsidRPr="000C7720">
              <w:rPr>
                <w:rFonts w:ascii="Arial" w:hAnsi="Arial" w:cs="Arial"/>
                <w:i/>
              </w:rPr>
              <w:t>Thurso</w:t>
            </w:r>
          </w:p>
          <w:p w:rsidR="000C7720" w:rsidRPr="000C7720" w:rsidRDefault="000C7720" w:rsidP="000C772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42" w:type="dxa"/>
          </w:tcPr>
          <w:p w:rsidR="00116DFC" w:rsidRPr="00116DFC" w:rsidRDefault="00116DFC" w:rsidP="00006EE9">
            <w:pPr>
              <w:rPr>
                <w:rFonts w:ascii="Arial" w:hAnsi="Arial" w:cs="Arial"/>
                <w:color w:val="FF0000"/>
              </w:rPr>
            </w:pPr>
          </w:p>
          <w:p w:rsidR="00116DFC" w:rsidRPr="00116DFC" w:rsidRDefault="00116DFC" w:rsidP="00006EE9">
            <w:pPr>
              <w:rPr>
                <w:rFonts w:ascii="Arial" w:hAnsi="Arial" w:cs="Arial"/>
                <w:color w:val="FF0000"/>
              </w:rPr>
            </w:pPr>
          </w:p>
          <w:p w:rsidR="00116DFC" w:rsidRDefault="00116DFC" w:rsidP="00006EE9">
            <w:pPr>
              <w:rPr>
                <w:rFonts w:ascii="Arial" w:hAnsi="Arial" w:cs="Arial"/>
                <w:color w:val="FF0000"/>
              </w:rPr>
            </w:pPr>
          </w:p>
          <w:p w:rsidR="008447CC" w:rsidRDefault="008447CC" w:rsidP="00006EE9">
            <w:pPr>
              <w:rPr>
                <w:rFonts w:ascii="Arial" w:hAnsi="Arial" w:cs="Arial"/>
                <w:color w:val="FF0000"/>
              </w:rPr>
            </w:pPr>
          </w:p>
          <w:p w:rsidR="0094047C" w:rsidRDefault="0094047C" w:rsidP="00006EE9">
            <w:pPr>
              <w:rPr>
                <w:rFonts w:ascii="Arial" w:hAnsi="Arial" w:cs="Arial"/>
              </w:rPr>
            </w:pPr>
          </w:p>
          <w:p w:rsidR="0094047C" w:rsidRDefault="0094047C" w:rsidP="00006EE9">
            <w:pPr>
              <w:rPr>
                <w:rFonts w:ascii="Arial" w:hAnsi="Arial" w:cs="Arial"/>
              </w:rPr>
            </w:pPr>
          </w:p>
          <w:p w:rsidR="0094047C" w:rsidRDefault="0094047C" w:rsidP="00006EE9">
            <w:pPr>
              <w:rPr>
                <w:rFonts w:ascii="Arial" w:hAnsi="Arial" w:cs="Arial"/>
              </w:rPr>
            </w:pPr>
          </w:p>
          <w:p w:rsidR="0094047C" w:rsidRDefault="0094047C" w:rsidP="00006EE9">
            <w:pPr>
              <w:rPr>
                <w:rFonts w:ascii="Arial" w:hAnsi="Arial" w:cs="Arial"/>
              </w:rPr>
            </w:pPr>
          </w:p>
          <w:p w:rsidR="00116DFC" w:rsidRPr="00F01A22" w:rsidRDefault="00932F95" w:rsidP="00006EE9">
            <w:pPr>
              <w:rPr>
                <w:rFonts w:ascii="Arial" w:hAnsi="Arial" w:cs="Arial"/>
              </w:rPr>
            </w:pPr>
            <w:r w:rsidRPr="00F01A22">
              <w:rPr>
                <w:rFonts w:ascii="Arial" w:hAnsi="Arial" w:cs="Arial"/>
              </w:rPr>
              <w:t>DW</w:t>
            </w:r>
          </w:p>
          <w:p w:rsidR="00932F95" w:rsidRPr="00116DFC" w:rsidRDefault="00932F95" w:rsidP="00006EE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116DFC" w:rsidRPr="00116DFC" w:rsidRDefault="00116DFC" w:rsidP="00D20B18">
            <w:pPr>
              <w:rPr>
                <w:rFonts w:ascii="Arial" w:hAnsi="Arial" w:cs="Arial"/>
                <w:color w:val="FF0000"/>
              </w:rPr>
            </w:pPr>
          </w:p>
          <w:p w:rsidR="00116DFC" w:rsidRDefault="00116DFC" w:rsidP="00D20B18">
            <w:pPr>
              <w:rPr>
                <w:rFonts w:ascii="Arial" w:hAnsi="Arial" w:cs="Arial"/>
                <w:color w:val="FF0000"/>
              </w:rPr>
            </w:pPr>
          </w:p>
          <w:p w:rsidR="008447CC" w:rsidRDefault="008447CC" w:rsidP="00D20B18">
            <w:pPr>
              <w:rPr>
                <w:rFonts w:ascii="Arial" w:hAnsi="Arial" w:cs="Arial"/>
                <w:color w:val="FF0000"/>
              </w:rPr>
            </w:pPr>
          </w:p>
          <w:p w:rsidR="00116DFC" w:rsidRDefault="00116DFC" w:rsidP="00D20B18">
            <w:pPr>
              <w:rPr>
                <w:rFonts w:ascii="Arial" w:hAnsi="Arial" w:cs="Arial"/>
                <w:color w:val="FF0000"/>
              </w:rPr>
            </w:pPr>
          </w:p>
          <w:p w:rsidR="0094047C" w:rsidRDefault="0094047C" w:rsidP="00D20B18">
            <w:pPr>
              <w:rPr>
                <w:rFonts w:ascii="Arial" w:hAnsi="Arial" w:cs="Arial"/>
              </w:rPr>
            </w:pPr>
          </w:p>
          <w:p w:rsidR="0094047C" w:rsidRDefault="0094047C" w:rsidP="00D20B18">
            <w:pPr>
              <w:rPr>
                <w:rFonts w:ascii="Arial" w:hAnsi="Arial" w:cs="Arial"/>
              </w:rPr>
            </w:pPr>
          </w:p>
          <w:p w:rsidR="0094047C" w:rsidRDefault="0094047C" w:rsidP="00D20B18">
            <w:pPr>
              <w:rPr>
                <w:rFonts w:ascii="Arial" w:hAnsi="Arial" w:cs="Arial"/>
              </w:rPr>
            </w:pPr>
          </w:p>
          <w:p w:rsidR="0094047C" w:rsidRDefault="0094047C" w:rsidP="00D20B18">
            <w:pPr>
              <w:rPr>
                <w:rFonts w:ascii="Arial" w:hAnsi="Arial" w:cs="Arial"/>
              </w:rPr>
            </w:pPr>
          </w:p>
          <w:p w:rsidR="00F01A22" w:rsidRPr="00116DFC" w:rsidRDefault="00F01A22" w:rsidP="00D20B18">
            <w:pPr>
              <w:rPr>
                <w:rFonts w:ascii="Arial" w:hAnsi="Arial" w:cs="Arial"/>
                <w:color w:val="FF0000"/>
              </w:rPr>
            </w:pPr>
            <w:r w:rsidRPr="00F01A22">
              <w:rPr>
                <w:rFonts w:ascii="Arial" w:hAnsi="Arial" w:cs="Arial"/>
              </w:rPr>
              <w:t>June 2019</w:t>
            </w:r>
          </w:p>
        </w:tc>
      </w:tr>
      <w:tr w:rsidR="00116DFC" w:rsidRPr="00987187" w:rsidTr="000C7720">
        <w:trPr>
          <w:trHeight w:val="824"/>
        </w:trPr>
        <w:tc>
          <w:tcPr>
            <w:tcW w:w="948" w:type="dxa"/>
          </w:tcPr>
          <w:p w:rsidR="00116DFC" w:rsidRDefault="00F51995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13iii</w:t>
            </w:r>
          </w:p>
        </w:tc>
        <w:tc>
          <w:tcPr>
            <w:tcW w:w="6807" w:type="dxa"/>
          </w:tcPr>
          <w:p w:rsidR="00116DFC" w:rsidRDefault="00F51995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Human Resources Report</w:t>
            </w:r>
          </w:p>
          <w:p w:rsidR="00F51995" w:rsidRDefault="00F51995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Gender Pay Gap approved for submission to UK Government and publication on HLH website.</w:t>
            </w:r>
          </w:p>
          <w:p w:rsidR="00932F95" w:rsidRDefault="00A67474" w:rsidP="000C7720">
            <w:pPr>
              <w:rPr>
                <w:rStyle w:val="Hyperlink"/>
                <w:i/>
                <w:sz w:val="20"/>
                <w:szCs w:val="20"/>
              </w:rPr>
            </w:pPr>
            <w:r w:rsidRPr="00D65C48">
              <w:rPr>
                <w:rFonts w:ascii="Arial" w:hAnsi="Arial" w:cs="Arial"/>
                <w:i/>
              </w:rPr>
              <w:t xml:space="preserve">2017/18 </w:t>
            </w:r>
            <w:r w:rsidR="00D65C48" w:rsidRPr="00D65C48">
              <w:rPr>
                <w:rFonts w:ascii="Arial" w:hAnsi="Arial" w:cs="Arial"/>
                <w:i/>
              </w:rPr>
              <w:t xml:space="preserve">HLH Gender Pay Gap </w:t>
            </w:r>
            <w:r w:rsidRPr="00D65C48">
              <w:rPr>
                <w:rFonts w:ascii="Arial" w:hAnsi="Arial" w:cs="Arial"/>
                <w:i/>
              </w:rPr>
              <w:t xml:space="preserve">results were published on the UK Government site on 5 November 2019 and </w:t>
            </w:r>
            <w:r w:rsidR="00D65C48" w:rsidRPr="00D65C48">
              <w:rPr>
                <w:rFonts w:ascii="Arial" w:hAnsi="Arial" w:cs="Arial"/>
                <w:i/>
              </w:rPr>
              <w:t xml:space="preserve">are </w:t>
            </w:r>
            <w:r w:rsidRPr="00D65C48">
              <w:rPr>
                <w:rFonts w:ascii="Arial" w:hAnsi="Arial" w:cs="Arial"/>
                <w:i/>
              </w:rPr>
              <w:t>available via</w:t>
            </w:r>
            <w:r w:rsidRPr="00A6747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hyperlink r:id="rId7" w:history="1">
              <w:r w:rsidRPr="00A67474">
                <w:rPr>
                  <w:rStyle w:val="Hyperlink"/>
                  <w:i/>
                  <w:sz w:val="20"/>
                  <w:szCs w:val="20"/>
                </w:rPr>
                <w:t>https://gender-pay-gap.service.gov.uk/Employer/nzDUkuVY/2018</w:t>
              </w:r>
            </w:hyperlink>
          </w:p>
          <w:p w:rsidR="000C7720" w:rsidRPr="000C7720" w:rsidRDefault="000C7720" w:rsidP="000C7720">
            <w:pPr>
              <w:rPr>
                <w:i/>
                <w:color w:val="1F497D"/>
              </w:rPr>
            </w:pPr>
          </w:p>
        </w:tc>
        <w:tc>
          <w:tcPr>
            <w:tcW w:w="1142" w:type="dxa"/>
          </w:tcPr>
          <w:p w:rsidR="00116DFC" w:rsidRPr="00A67474" w:rsidRDefault="00116DFC" w:rsidP="00006EE9">
            <w:pPr>
              <w:rPr>
                <w:rFonts w:ascii="Arial" w:hAnsi="Arial" w:cs="Arial"/>
              </w:rPr>
            </w:pPr>
          </w:p>
          <w:p w:rsidR="00F51995" w:rsidRPr="00A67474" w:rsidRDefault="00F51995" w:rsidP="00006EE9">
            <w:pPr>
              <w:rPr>
                <w:rFonts w:ascii="Arial" w:hAnsi="Arial" w:cs="Arial"/>
              </w:rPr>
            </w:pPr>
          </w:p>
          <w:p w:rsidR="00F51995" w:rsidRPr="00A67474" w:rsidRDefault="00F51995" w:rsidP="00006EE9">
            <w:pPr>
              <w:rPr>
                <w:rFonts w:ascii="Arial" w:hAnsi="Arial" w:cs="Arial"/>
              </w:rPr>
            </w:pPr>
          </w:p>
          <w:p w:rsidR="00F51995" w:rsidRPr="00A67474" w:rsidRDefault="00F51995" w:rsidP="00006EE9">
            <w:pPr>
              <w:rPr>
                <w:rFonts w:ascii="Arial" w:hAnsi="Arial" w:cs="Arial"/>
              </w:rPr>
            </w:pPr>
            <w:r w:rsidRPr="00A67474">
              <w:rPr>
                <w:rFonts w:ascii="Arial" w:hAnsi="Arial" w:cs="Arial"/>
              </w:rPr>
              <w:t>JWM</w:t>
            </w:r>
          </w:p>
        </w:tc>
        <w:tc>
          <w:tcPr>
            <w:tcW w:w="1276" w:type="dxa"/>
          </w:tcPr>
          <w:p w:rsidR="00116DFC" w:rsidRPr="00A67474" w:rsidRDefault="00116DFC" w:rsidP="00D20B18">
            <w:pPr>
              <w:rPr>
                <w:rFonts w:ascii="Arial" w:hAnsi="Arial" w:cs="Arial"/>
              </w:rPr>
            </w:pPr>
          </w:p>
          <w:p w:rsidR="00F51995" w:rsidRPr="00A67474" w:rsidRDefault="00F51995" w:rsidP="00D20B18">
            <w:pPr>
              <w:rPr>
                <w:rFonts w:ascii="Arial" w:hAnsi="Arial" w:cs="Arial"/>
              </w:rPr>
            </w:pPr>
          </w:p>
          <w:p w:rsidR="00F51995" w:rsidRPr="00A67474" w:rsidRDefault="00F51995" w:rsidP="00D20B18">
            <w:pPr>
              <w:rPr>
                <w:rFonts w:ascii="Arial" w:hAnsi="Arial" w:cs="Arial"/>
              </w:rPr>
            </w:pPr>
          </w:p>
          <w:p w:rsidR="00F51995" w:rsidRPr="00A67474" w:rsidRDefault="00A67474" w:rsidP="00D20B18">
            <w:pPr>
              <w:rPr>
                <w:rFonts w:ascii="Arial" w:hAnsi="Arial" w:cs="Arial"/>
              </w:rPr>
            </w:pPr>
            <w:r w:rsidRPr="00A67474">
              <w:rPr>
                <w:rFonts w:ascii="Arial" w:hAnsi="Arial" w:cs="Arial"/>
              </w:rPr>
              <w:t>Complete</w:t>
            </w:r>
          </w:p>
        </w:tc>
      </w:tr>
    </w:tbl>
    <w:p w:rsidR="00A772B8" w:rsidRPr="00987187" w:rsidRDefault="00A772B8" w:rsidP="00006EE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n-US"/>
        </w:rPr>
      </w:pPr>
    </w:p>
    <w:sectPr w:rsidR="00A772B8" w:rsidRPr="00987187" w:rsidSect="000C7720">
      <w:pgSz w:w="12240" w:h="15840"/>
      <w:pgMar w:top="567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D23"/>
    <w:multiLevelType w:val="hybridMultilevel"/>
    <w:tmpl w:val="BA7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24B1"/>
    <w:multiLevelType w:val="hybridMultilevel"/>
    <w:tmpl w:val="A5C6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137329"/>
    <w:multiLevelType w:val="hybridMultilevel"/>
    <w:tmpl w:val="35487F9C"/>
    <w:lvl w:ilvl="0" w:tplc="75BC30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37CE6"/>
    <w:multiLevelType w:val="hybridMultilevel"/>
    <w:tmpl w:val="15EC670A"/>
    <w:lvl w:ilvl="0" w:tplc="3960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C4931"/>
    <w:multiLevelType w:val="hybridMultilevel"/>
    <w:tmpl w:val="ADE60262"/>
    <w:lvl w:ilvl="0" w:tplc="A5CE50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25963"/>
    <w:multiLevelType w:val="hybridMultilevel"/>
    <w:tmpl w:val="1402E6A8"/>
    <w:lvl w:ilvl="0" w:tplc="4970E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277B7"/>
    <w:multiLevelType w:val="hybridMultilevel"/>
    <w:tmpl w:val="ED6C0366"/>
    <w:lvl w:ilvl="0" w:tplc="0809001B">
      <w:start w:val="1"/>
      <w:numFmt w:val="lowerRoman"/>
      <w:lvlText w:val="%1."/>
      <w:lvlJc w:val="right"/>
      <w:pPr>
        <w:ind w:left="955" w:hanging="360"/>
      </w:p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2E9C5AA1"/>
    <w:multiLevelType w:val="hybridMultilevel"/>
    <w:tmpl w:val="33CC7E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7202"/>
    <w:multiLevelType w:val="hybridMultilevel"/>
    <w:tmpl w:val="D5022A90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91D17"/>
    <w:multiLevelType w:val="hybridMultilevel"/>
    <w:tmpl w:val="3FC60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E1C"/>
    <w:multiLevelType w:val="hybridMultilevel"/>
    <w:tmpl w:val="D4FA1904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CB488C"/>
    <w:multiLevelType w:val="hybridMultilevel"/>
    <w:tmpl w:val="8DAA4A02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815252"/>
    <w:multiLevelType w:val="hybridMultilevel"/>
    <w:tmpl w:val="AA22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949E8"/>
    <w:multiLevelType w:val="hybridMultilevel"/>
    <w:tmpl w:val="F618B18A"/>
    <w:lvl w:ilvl="0" w:tplc="9FBC88A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87A04"/>
    <w:multiLevelType w:val="hybridMultilevel"/>
    <w:tmpl w:val="59E2C1C6"/>
    <w:lvl w:ilvl="0" w:tplc="AECEB7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7C298D"/>
    <w:multiLevelType w:val="hybridMultilevel"/>
    <w:tmpl w:val="DEF84CF4"/>
    <w:lvl w:ilvl="0" w:tplc="B24235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92112"/>
    <w:multiLevelType w:val="hybridMultilevel"/>
    <w:tmpl w:val="46E2B01A"/>
    <w:lvl w:ilvl="0" w:tplc="C8AE3F9E">
      <w:start w:val="1"/>
      <w:numFmt w:val="lowerRoman"/>
      <w:lvlText w:val="%1."/>
      <w:lvlJc w:val="left"/>
      <w:pPr>
        <w:ind w:left="102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6921675A"/>
    <w:multiLevelType w:val="hybridMultilevel"/>
    <w:tmpl w:val="8AA68E10"/>
    <w:lvl w:ilvl="0" w:tplc="760AF6C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0131F"/>
    <w:multiLevelType w:val="hybridMultilevel"/>
    <w:tmpl w:val="3B94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C373F"/>
    <w:multiLevelType w:val="hybridMultilevel"/>
    <w:tmpl w:val="5F4E96FC"/>
    <w:lvl w:ilvl="0" w:tplc="375E60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33901"/>
    <w:multiLevelType w:val="hybridMultilevel"/>
    <w:tmpl w:val="0F1C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B27C2"/>
    <w:multiLevelType w:val="hybridMultilevel"/>
    <w:tmpl w:val="BF825BAA"/>
    <w:lvl w:ilvl="0" w:tplc="E9B8C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21"/>
  </w:num>
  <w:num w:numId="14">
    <w:abstractNumId w:val="10"/>
  </w:num>
  <w:num w:numId="15">
    <w:abstractNumId w:val="16"/>
  </w:num>
  <w:num w:numId="16">
    <w:abstractNumId w:val="11"/>
  </w:num>
  <w:num w:numId="17">
    <w:abstractNumId w:val="20"/>
  </w:num>
  <w:num w:numId="18">
    <w:abstractNumId w:val="14"/>
  </w:num>
  <w:num w:numId="19">
    <w:abstractNumId w:val="1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21"/>
    <w:rsid w:val="00000CEF"/>
    <w:rsid w:val="000033A4"/>
    <w:rsid w:val="00004371"/>
    <w:rsid w:val="00006EE9"/>
    <w:rsid w:val="000104C2"/>
    <w:rsid w:val="00012953"/>
    <w:rsid w:val="00014761"/>
    <w:rsid w:val="000216F1"/>
    <w:rsid w:val="000231FA"/>
    <w:rsid w:val="00030587"/>
    <w:rsid w:val="00035BB1"/>
    <w:rsid w:val="0003715D"/>
    <w:rsid w:val="00052EF7"/>
    <w:rsid w:val="00063267"/>
    <w:rsid w:val="00071FF4"/>
    <w:rsid w:val="00073290"/>
    <w:rsid w:val="000763E5"/>
    <w:rsid w:val="00083680"/>
    <w:rsid w:val="000A077D"/>
    <w:rsid w:val="000A7A57"/>
    <w:rsid w:val="000B1997"/>
    <w:rsid w:val="000B3A34"/>
    <w:rsid w:val="000B6A03"/>
    <w:rsid w:val="000C7720"/>
    <w:rsid w:val="000D47CD"/>
    <w:rsid w:val="000F0D07"/>
    <w:rsid w:val="000F2078"/>
    <w:rsid w:val="000F2466"/>
    <w:rsid w:val="00103293"/>
    <w:rsid w:val="001122D2"/>
    <w:rsid w:val="00116DFC"/>
    <w:rsid w:val="00127CF6"/>
    <w:rsid w:val="001429CF"/>
    <w:rsid w:val="001449DB"/>
    <w:rsid w:val="001526F3"/>
    <w:rsid w:val="00152D00"/>
    <w:rsid w:val="0015399A"/>
    <w:rsid w:val="00154785"/>
    <w:rsid w:val="00164FF1"/>
    <w:rsid w:val="0017249F"/>
    <w:rsid w:val="00182560"/>
    <w:rsid w:val="001846AA"/>
    <w:rsid w:val="001847BE"/>
    <w:rsid w:val="0019006C"/>
    <w:rsid w:val="001917AD"/>
    <w:rsid w:val="00197F3A"/>
    <w:rsid w:val="001A201C"/>
    <w:rsid w:val="001A3B6D"/>
    <w:rsid w:val="001A5BCE"/>
    <w:rsid w:val="001B1293"/>
    <w:rsid w:val="001B2BCD"/>
    <w:rsid w:val="001C45BD"/>
    <w:rsid w:val="001C60A5"/>
    <w:rsid w:val="001D098B"/>
    <w:rsid w:val="001D65CA"/>
    <w:rsid w:val="001D6E6C"/>
    <w:rsid w:val="001E31FC"/>
    <w:rsid w:val="001E3E0C"/>
    <w:rsid w:val="001E452F"/>
    <w:rsid w:val="001F679F"/>
    <w:rsid w:val="001F6FF7"/>
    <w:rsid w:val="001F78C2"/>
    <w:rsid w:val="00205BD6"/>
    <w:rsid w:val="00210ADB"/>
    <w:rsid w:val="00211E12"/>
    <w:rsid w:val="00213A8C"/>
    <w:rsid w:val="00225F1F"/>
    <w:rsid w:val="0023085C"/>
    <w:rsid w:val="00233CFA"/>
    <w:rsid w:val="002363AE"/>
    <w:rsid w:val="00237C06"/>
    <w:rsid w:val="00246342"/>
    <w:rsid w:val="002537C5"/>
    <w:rsid w:val="00266B80"/>
    <w:rsid w:val="002747D1"/>
    <w:rsid w:val="0027684D"/>
    <w:rsid w:val="00287306"/>
    <w:rsid w:val="002952A1"/>
    <w:rsid w:val="002A7A05"/>
    <w:rsid w:val="002B4499"/>
    <w:rsid w:val="002B78B7"/>
    <w:rsid w:val="002C2C69"/>
    <w:rsid w:val="002C3405"/>
    <w:rsid w:val="002C3C6F"/>
    <w:rsid w:val="002C4F8F"/>
    <w:rsid w:val="002E1CE4"/>
    <w:rsid w:val="002E405E"/>
    <w:rsid w:val="002F5339"/>
    <w:rsid w:val="002F5353"/>
    <w:rsid w:val="002F6F5E"/>
    <w:rsid w:val="003069A9"/>
    <w:rsid w:val="00306E7B"/>
    <w:rsid w:val="003118F4"/>
    <w:rsid w:val="00314CA2"/>
    <w:rsid w:val="00331F7E"/>
    <w:rsid w:val="00335FEA"/>
    <w:rsid w:val="00354078"/>
    <w:rsid w:val="0035545E"/>
    <w:rsid w:val="00362DDA"/>
    <w:rsid w:val="00366C9E"/>
    <w:rsid w:val="003753CF"/>
    <w:rsid w:val="00376F44"/>
    <w:rsid w:val="00380CD1"/>
    <w:rsid w:val="003858C4"/>
    <w:rsid w:val="003922AC"/>
    <w:rsid w:val="00393FEF"/>
    <w:rsid w:val="003A0B11"/>
    <w:rsid w:val="003A222C"/>
    <w:rsid w:val="003A609F"/>
    <w:rsid w:val="003A6F0C"/>
    <w:rsid w:val="003A7161"/>
    <w:rsid w:val="003B03B2"/>
    <w:rsid w:val="003B0D1E"/>
    <w:rsid w:val="003B5B14"/>
    <w:rsid w:val="003C0B8F"/>
    <w:rsid w:val="003C0DC6"/>
    <w:rsid w:val="003C31BE"/>
    <w:rsid w:val="003C4762"/>
    <w:rsid w:val="003E173A"/>
    <w:rsid w:val="003E772C"/>
    <w:rsid w:val="003F3238"/>
    <w:rsid w:val="003F3C0E"/>
    <w:rsid w:val="003F5213"/>
    <w:rsid w:val="003F6258"/>
    <w:rsid w:val="00402196"/>
    <w:rsid w:val="00406540"/>
    <w:rsid w:val="00436FCF"/>
    <w:rsid w:val="00440496"/>
    <w:rsid w:val="00440619"/>
    <w:rsid w:val="00444234"/>
    <w:rsid w:val="00446BF3"/>
    <w:rsid w:val="004545DE"/>
    <w:rsid w:val="0047044E"/>
    <w:rsid w:val="00473AD3"/>
    <w:rsid w:val="00481B26"/>
    <w:rsid w:val="00494D8C"/>
    <w:rsid w:val="004965DB"/>
    <w:rsid w:val="004A3E99"/>
    <w:rsid w:val="004B4BE3"/>
    <w:rsid w:val="004B6391"/>
    <w:rsid w:val="004B7131"/>
    <w:rsid w:val="004B7775"/>
    <w:rsid w:val="004B7DD9"/>
    <w:rsid w:val="004C1A4D"/>
    <w:rsid w:val="004C3E68"/>
    <w:rsid w:val="004E1315"/>
    <w:rsid w:val="004E4710"/>
    <w:rsid w:val="00500725"/>
    <w:rsid w:val="00501C71"/>
    <w:rsid w:val="005045F2"/>
    <w:rsid w:val="00510A3E"/>
    <w:rsid w:val="00510C3B"/>
    <w:rsid w:val="00511172"/>
    <w:rsid w:val="0051386A"/>
    <w:rsid w:val="00531568"/>
    <w:rsid w:val="00532A65"/>
    <w:rsid w:val="00536E2D"/>
    <w:rsid w:val="00540FEE"/>
    <w:rsid w:val="005619DA"/>
    <w:rsid w:val="00562C72"/>
    <w:rsid w:val="00575A59"/>
    <w:rsid w:val="00587D92"/>
    <w:rsid w:val="00590015"/>
    <w:rsid w:val="005B02E7"/>
    <w:rsid w:val="005B10AD"/>
    <w:rsid w:val="005B60A9"/>
    <w:rsid w:val="005B6250"/>
    <w:rsid w:val="005F29CE"/>
    <w:rsid w:val="005F2C2C"/>
    <w:rsid w:val="0060668F"/>
    <w:rsid w:val="006154DA"/>
    <w:rsid w:val="00621CF2"/>
    <w:rsid w:val="006403BD"/>
    <w:rsid w:val="00644E6A"/>
    <w:rsid w:val="00657124"/>
    <w:rsid w:val="00657EAC"/>
    <w:rsid w:val="00661688"/>
    <w:rsid w:val="00661E17"/>
    <w:rsid w:val="00662149"/>
    <w:rsid w:val="00662BF5"/>
    <w:rsid w:val="00672376"/>
    <w:rsid w:val="00683361"/>
    <w:rsid w:val="00687BEA"/>
    <w:rsid w:val="006944C0"/>
    <w:rsid w:val="00696D30"/>
    <w:rsid w:val="00697463"/>
    <w:rsid w:val="006A48C3"/>
    <w:rsid w:val="006C6BE7"/>
    <w:rsid w:val="006E397B"/>
    <w:rsid w:val="006E4E94"/>
    <w:rsid w:val="00702DC6"/>
    <w:rsid w:val="007046F9"/>
    <w:rsid w:val="0070485C"/>
    <w:rsid w:val="00712FAF"/>
    <w:rsid w:val="007160F1"/>
    <w:rsid w:val="007209FB"/>
    <w:rsid w:val="00720D0D"/>
    <w:rsid w:val="0072597C"/>
    <w:rsid w:val="00734256"/>
    <w:rsid w:val="00735C20"/>
    <w:rsid w:val="007521A6"/>
    <w:rsid w:val="007628A8"/>
    <w:rsid w:val="00766A6E"/>
    <w:rsid w:val="00771A16"/>
    <w:rsid w:val="00773C15"/>
    <w:rsid w:val="00784CF5"/>
    <w:rsid w:val="00791D59"/>
    <w:rsid w:val="0079658A"/>
    <w:rsid w:val="007E2C39"/>
    <w:rsid w:val="007F2267"/>
    <w:rsid w:val="007F40AD"/>
    <w:rsid w:val="00807108"/>
    <w:rsid w:val="00811F58"/>
    <w:rsid w:val="00827282"/>
    <w:rsid w:val="008327B2"/>
    <w:rsid w:val="008404B0"/>
    <w:rsid w:val="00843830"/>
    <w:rsid w:val="008447CC"/>
    <w:rsid w:val="00844E20"/>
    <w:rsid w:val="00846FFA"/>
    <w:rsid w:val="00854421"/>
    <w:rsid w:val="00854E7B"/>
    <w:rsid w:val="00864109"/>
    <w:rsid w:val="00864133"/>
    <w:rsid w:val="00866BFC"/>
    <w:rsid w:val="00873F62"/>
    <w:rsid w:val="00874A42"/>
    <w:rsid w:val="00880248"/>
    <w:rsid w:val="008A1A0C"/>
    <w:rsid w:val="008A1B8C"/>
    <w:rsid w:val="008A4340"/>
    <w:rsid w:val="008A4440"/>
    <w:rsid w:val="008B4F4C"/>
    <w:rsid w:val="008C51AE"/>
    <w:rsid w:val="008D043F"/>
    <w:rsid w:val="008D06DC"/>
    <w:rsid w:val="008D394A"/>
    <w:rsid w:val="008E13E5"/>
    <w:rsid w:val="00912C06"/>
    <w:rsid w:val="009169CE"/>
    <w:rsid w:val="00917BF9"/>
    <w:rsid w:val="00921223"/>
    <w:rsid w:val="00932F95"/>
    <w:rsid w:val="0094047C"/>
    <w:rsid w:val="0094077B"/>
    <w:rsid w:val="00940E3A"/>
    <w:rsid w:val="0094492F"/>
    <w:rsid w:val="00947629"/>
    <w:rsid w:val="00977A27"/>
    <w:rsid w:val="0098330F"/>
    <w:rsid w:val="00987187"/>
    <w:rsid w:val="00992173"/>
    <w:rsid w:val="00994324"/>
    <w:rsid w:val="0099799A"/>
    <w:rsid w:val="009A05DA"/>
    <w:rsid w:val="009A2AC4"/>
    <w:rsid w:val="009A3157"/>
    <w:rsid w:val="009B1989"/>
    <w:rsid w:val="009B3B48"/>
    <w:rsid w:val="009B4C59"/>
    <w:rsid w:val="009C2BA9"/>
    <w:rsid w:val="009C4998"/>
    <w:rsid w:val="009D26C8"/>
    <w:rsid w:val="009E09DB"/>
    <w:rsid w:val="009E0F74"/>
    <w:rsid w:val="009F165B"/>
    <w:rsid w:val="009F6BF2"/>
    <w:rsid w:val="00A01986"/>
    <w:rsid w:val="00A13E6C"/>
    <w:rsid w:val="00A25258"/>
    <w:rsid w:val="00A27742"/>
    <w:rsid w:val="00A30DB0"/>
    <w:rsid w:val="00A31911"/>
    <w:rsid w:val="00A345B0"/>
    <w:rsid w:val="00A35CB5"/>
    <w:rsid w:val="00A45892"/>
    <w:rsid w:val="00A45F14"/>
    <w:rsid w:val="00A53622"/>
    <w:rsid w:val="00A573C2"/>
    <w:rsid w:val="00A615BC"/>
    <w:rsid w:val="00A66C31"/>
    <w:rsid w:val="00A67474"/>
    <w:rsid w:val="00A713A3"/>
    <w:rsid w:val="00A7591F"/>
    <w:rsid w:val="00A772B8"/>
    <w:rsid w:val="00A86218"/>
    <w:rsid w:val="00A909B5"/>
    <w:rsid w:val="00A91910"/>
    <w:rsid w:val="00A91EF6"/>
    <w:rsid w:val="00AA4583"/>
    <w:rsid w:val="00AA4CF1"/>
    <w:rsid w:val="00AB3438"/>
    <w:rsid w:val="00AB439C"/>
    <w:rsid w:val="00AC0FD7"/>
    <w:rsid w:val="00AC58C1"/>
    <w:rsid w:val="00AC755E"/>
    <w:rsid w:val="00AC78B9"/>
    <w:rsid w:val="00AE3956"/>
    <w:rsid w:val="00AE6781"/>
    <w:rsid w:val="00AE7D3D"/>
    <w:rsid w:val="00AF576E"/>
    <w:rsid w:val="00B07CFA"/>
    <w:rsid w:val="00B24E0C"/>
    <w:rsid w:val="00B334B9"/>
    <w:rsid w:val="00B3411F"/>
    <w:rsid w:val="00B34DB3"/>
    <w:rsid w:val="00B36E50"/>
    <w:rsid w:val="00B5143D"/>
    <w:rsid w:val="00B52874"/>
    <w:rsid w:val="00B56332"/>
    <w:rsid w:val="00B648AE"/>
    <w:rsid w:val="00B67BFB"/>
    <w:rsid w:val="00B74BF2"/>
    <w:rsid w:val="00B8704A"/>
    <w:rsid w:val="00B9254B"/>
    <w:rsid w:val="00B9568D"/>
    <w:rsid w:val="00BA0CDB"/>
    <w:rsid w:val="00BB288E"/>
    <w:rsid w:val="00BB4016"/>
    <w:rsid w:val="00BC0CE8"/>
    <w:rsid w:val="00BC1F88"/>
    <w:rsid w:val="00BD15CF"/>
    <w:rsid w:val="00BE087E"/>
    <w:rsid w:val="00C02ADC"/>
    <w:rsid w:val="00C06F21"/>
    <w:rsid w:val="00C10DEA"/>
    <w:rsid w:val="00C134B6"/>
    <w:rsid w:val="00C153C0"/>
    <w:rsid w:val="00C21D23"/>
    <w:rsid w:val="00C30771"/>
    <w:rsid w:val="00C33F4C"/>
    <w:rsid w:val="00C41F97"/>
    <w:rsid w:val="00C43EA0"/>
    <w:rsid w:val="00C44130"/>
    <w:rsid w:val="00C44CF9"/>
    <w:rsid w:val="00C46AF6"/>
    <w:rsid w:val="00C57229"/>
    <w:rsid w:val="00C6035D"/>
    <w:rsid w:val="00C66D20"/>
    <w:rsid w:val="00C67BFA"/>
    <w:rsid w:val="00C70B7C"/>
    <w:rsid w:val="00C72443"/>
    <w:rsid w:val="00C77B42"/>
    <w:rsid w:val="00C851DE"/>
    <w:rsid w:val="00CA211B"/>
    <w:rsid w:val="00CB163C"/>
    <w:rsid w:val="00CC39C0"/>
    <w:rsid w:val="00CC5600"/>
    <w:rsid w:val="00CD46EE"/>
    <w:rsid w:val="00CD6874"/>
    <w:rsid w:val="00CE2764"/>
    <w:rsid w:val="00CE3FE1"/>
    <w:rsid w:val="00CE4C1E"/>
    <w:rsid w:val="00CF59C2"/>
    <w:rsid w:val="00D02DB3"/>
    <w:rsid w:val="00D07845"/>
    <w:rsid w:val="00D14EC1"/>
    <w:rsid w:val="00D20B18"/>
    <w:rsid w:val="00D438C1"/>
    <w:rsid w:val="00D45860"/>
    <w:rsid w:val="00D53DEA"/>
    <w:rsid w:val="00D540CE"/>
    <w:rsid w:val="00D65C3F"/>
    <w:rsid w:val="00D65C48"/>
    <w:rsid w:val="00D805F2"/>
    <w:rsid w:val="00D8542B"/>
    <w:rsid w:val="00D922B5"/>
    <w:rsid w:val="00D964F3"/>
    <w:rsid w:val="00DA1139"/>
    <w:rsid w:val="00DA76DE"/>
    <w:rsid w:val="00DA7DFB"/>
    <w:rsid w:val="00DB7F4C"/>
    <w:rsid w:val="00DC4099"/>
    <w:rsid w:val="00DC5A03"/>
    <w:rsid w:val="00DD3714"/>
    <w:rsid w:val="00DD4289"/>
    <w:rsid w:val="00DE3554"/>
    <w:rsid w:val="00DE6212"/>
    <w:rsid w:val="00DF1651"/>
    <w:rsid w:val="00DF1780"/>
    <w:rsid w:val="00E0011C"/>
    <w:rsid w:val="00E229D2"/>
    <w:rsid w:val="00E23DD5"/>
    <w:rsid w:val="00E41460"/>
    <w:rsid w:val="00E44804"/>
    <w:rsid w:val="00E45D50"/>
    <w:rsid w:val="00E553E6"/>
    <w:rsid w:val="00E7014B"/>
    <w:rsid w:val="00E7783D"/>
    <w:rsid w:val="00E82A30"/>
    <w:rsid w:val="00E840E8"/>
    <w:rsid w:val="00E85369"/>
    <w:rsid w:val="00E85907"/>
    <w:rsid w:val="00EA796B"/>
    <w:rsid w:val="00EB21D4"/>
    <w:rsid w:val="00EB3190"/>
    <w:rsid w:val="00EC7380"/>
    <w:rsid w:val="00ED03CF"/>
    <w:rsid w:val="00ED62F7"/>
    <w:rsid w:val="00F01A22"/>
    <w:rsid w:val="00F1046E"/>
    <w:rsid w:val="00F10A6E"/>
    <w:rsid w:val="00F23DCB"/>
    <w:rsid w:val="00F245EA"/>
    <w:rsid w:val="00F34721"/>
    <w:rsid w:val="00F36D9C"/>
    <w:rsid w:val="00F429C2"/>
    <w:rsid w:val="00F441F5"/>
    <w:rsid w:val="00F47972"/>
    <w:rsid w:val="00F51995"/>
    <w:rsid w:val="00F65115"/>
    <w:rsid w:val="00F664CB"/>
    <w:rsid w:val="00F7344B"/>
    <w:rsid w:val="00F742C4"/>
    <w:rsid w:val="00F74553"/>
    <w:rsid w:val="00F853F5"/>
    <w:rsid w:val="00F86DBB"/>
    <w:rsid w:val="00FA752C"/>
    <w:rsid w:val="00FC0CA8"/>
    <w:rsid w:val="00FC4157"/>
    <w:rsid w:val="00FF0A76"/>
    <w:rsid w:val="00FF1FA8"/>
    <w:rsid w:val="00FF277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ender-pay-gap.service.gov.uk/Employer/nzDUkuVY/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42A1-3065-477D-A080-2E60263A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jackiema</dc:creator>
  <cp:lastModifiedBy>Jackie MacKenzie - ECS</cp:lastModifiedBy>
  <cp:revision>10</cp:revision>
  <cp:lastPrinted>2018-10-19T08:01:00Z</cp:lastPrinted>
  <dcterms:created xsi:type="dcterms:W3CDTF">2018-01-15T09:24:00Z</dcterms:created>
  <dcterms:modified xsi:type="dcterms:W3CDTF">2018-11-23T08:38:00Z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-621415066</vt:i4>
  </property>
  <property fmtid="{D5CDD505-2E9C-101B-9397-08002B2CF9AE}" pid="3" name="_NewReviewCycle">
    <vt:lpwstr/>
  </property>
  <property fmtid="{D5CDD505-2E9C-101B-9397-08002B2CF9AE}" pid="4" name="_EmailSubject">
    <vt:lpwstr>HLH BOARD MEETING 11 DECEMBER 2018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  <property fmtid="{D5CDD505-2E9C-101B-9397-08002B2CF9AE}" pid="7" name="_PreviousAdHocReviewCycleID">
    <vt:i4>-2100992604</vt:i4>
  </property>
</Properties>
</file>