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EB" w:rsidRPr="00A65BBE" w:rsidRDefault="00990DEB" w:rsidP="00990DEB">
      <w:pPr>
        <w:spacing w:after="200" w:line="276" w:lineRule="auto"/>
        <w:rPr>
          <w:rFonts w:ascii="Arial" w:eastAsiaTheme="minorHAnsi" w:hAnsi="Arial" w:cs="Arial"/>
          <w:b/>
          <w:szCs w:val="24"/>
          <w:lang w:eastAsia="en-US"/>
        </w:rPr>
      </w:pPr>
      <w:bookmarkStart w:id="0" w:name="_GoBack"/>
      <w:bookmarkEnd w:id="0"/>
      <w:r w:rsidRPr="00A65BBE">
        <w:rPr>
          <w:rFonts w:ascii="Arial" w:eastAsiaTheme="minorHAnsi" w:hAnsi="Arial" w:cs="Arial"/>
          <w:b/>
          <w:szCs w:val="24"/>
          <w:lang w:eastAsia="en-US"/>
        </w:rPr>
        <w:t>High Life Highland 2017 Gender Pay Gap Report</w:t>
      </w:r>
    </w:p>
    <w:p w:rsidR="00990DEB" w:rsidRPr="00A65BBE" w:rsidRDefault="00990DEB" w:rsidP="000343B3">
      <w:pPr>
        <w:spacing w:after="200" w:line="276" w:lineRule="auto"/>
        <w:jc w:val="both"/>
        <w:rPr>
          <w:rFonts w:ascii="Arial" w:eastAsiaTheme="minorHAnsi" w:hAnsi="Arial" w:cs="Arial"/>
          <w:b/>
          <w:szCs w:val="24"/>
          <w:lang w:eastAsia="en-US"/>
        </w:rPr>
      </w:pPr>
      <w:r w:rsidRPr="00A65BBE">
        <w:rPr>
          <w:rFonts w:ascii="Arial" w:eastAsiaTheme="minorHAnsi" w:hAnsi="Arial" w:cs="Arial"/>
          <w:szCs w:val="24"/>
          <w:lang w:eastAsia="en-US"/>
        </w:rPr>
        <w:t>High Life Highland is a charity registered in Scotland, formed on the 1st October 2011 by The Highland Council to develop and promote opportunities in culture, learning, sport, leisure, health and wellbeing across 9 services throughout the whole of the Highlands, for both residents and visitors.</w:t>
      </w:r>
    </w:p>
    <w:p w:rsidR="00990DEB" w:rsidRPr="00A65BBE" w:rsidRDefault="00990DEB" w:rsidP="000343B3">
      <w:pPr>
        <w:autoSpaceDE w:val="0"/>
        <w:autoSpaceDN w:val="0"/>
        <w:adjustRightInd w:val="0"/>
        <w:spacing w:line="276" w:lineRule="auto"/>
        <w:jc w:val="both"/>
        <w:rPr>
          <w:rFonts w:ascii="Arial" w:eastAsiaTheme="minorHAnsi" w:hAnsi="Arial" w:cs="Arial"/>
          <w:szCs w:val="24"/>
          <w:lang w:eastAsia="en-US"/>
        </w:rPr>
      </w:pPr>
      <w:r w:rsidRPr="00A65BBE">
        <w:rPr>
          <w:rFonts w:ascii="Arial" w:eastAsiaTheme="minorHAnsi" w:hAnsi="Arial" w:cs="Arial"/>
          <w:szCs w:val="24"/>
          <w:lang w:eastAsia="en-US"/>
        </w:rPr>
        <w:t xml:space="preserve">The Gender Pay Gap data supplied is correct for all employees in post with High Life Highland on </w:t>
      </w:r>
      <w:r>
        <w:rPr>
          <w:rFonts w:ascii="Arial" w:eastAsiaTheme="minorHAnsi" w:hAnsi="Arial" w:cs="Arial"/>
          <w:szCs w:val="24"/>
          <w:lang w:eastAsia="en-US"/>
        </w:rPr>
        <w:t>31 March</w:t>
      </w:r>
      <w:r w:rsidRPr="00A65BBE">
        <w:rPr>
          <w:rFonts w:ascii="Arial" w:eastAsiaTheme="minorHAnsi" w:hAnsi="Arial" w:cs="Arial"/>
          <w:szCs w:val="24"/>
          <w:lang w:eastAsia="en-US"/>
        </w:rPr>
        <w:t xml:space="preserve"> 2017. </w:t>
      </w:r>
    </w:p>
    <w:p w:rsidR="00990DEB" w:rsidRPr="00A65BBE" w:rsidRDefault="00990DEB" w:rsidP="000343B3">
      <w:pPr>
        <w:autoSpaceDE w:val="0"/>
        <w:autoSpaceDN w:val="0"/>
        <w:adjustRightInd w:val="0"/>
        <w:spacing w:line="276" w:lineRule="auto"/>
        <w:jc w:val="both"/>
        <w:rPr>
          <w:rFonts w:ascii="Arial" w:eastAsiaTheme="minorHAnsi" w:hAnsi="Arial" w:cs="Arial"/>
          <w:szCs w:val="24"/>
          <w:lang w:eastAsia="en-US"/>
        </w:rPr>
      </w:pPr>
    </w:p>
    <w:p w:rsidR="00990DEB" w:rsidRPr="00A65BBE" w:rsidRDefault="00990DEB" w:rsidP="000343B3">
      <w:pPr>
        <w:autoSpaceDE w:val="0"/>
        <w:autoSpaceDN w:val="0"/>
        <w:adjustRightInd w:val="0"/>
        <w:spacing w:line="276" w:lineRule="auto"/>
        <w:jc w:val="both"/>
        <w:rPr>
          <w:rFonts w:ascii="Arial" w:eastAsiaTheme="minorHAnsi" w:hAnsi="Arial" w:cs="Arial"/>
          <w:szCs w:val="24"/>
          <w:lang w:eastAsia="en-US"/>
        </w:rPr>
      </w:pPr>
      <w:r w:rsidRPr="00A65BBE">
        <w:rPr>
          <w:rFonts w:ascii="Arial" w:eastAsiaTheme="minorHAnsi" w:hAnsi="Arial" w:cs="Arial"/>
          <w:szCs w:val="24"/>
          <w:lang w:eastAsia="en-US"/>
        </w:rPr>
        <w:t xml:space="preserve">On that date there were 892 relevant and full-pay relevant employees, 325 (36.5%) males and 567 females (63.5%). </w:t>
      </w:r>
    </w:p>
    <w:p w:rsidR="00990DEB" w:rsidRPr="00A65BBE" w:rsidRDefault="00990DEB" w:rsidP="000343B3">
      <w:pPr>
        <w:autoSpaceDE w:val="0"/>
        <w:autoSpaceDN w:val="0"/>
        <w:adjustRightInd w:val="0"/>
        <w:spacing w:line="276" w:lineRule="auto"/>
        <w:jc w:val="both"/>
        <w:rPr>
          <w:rFonts w:ascii="Arial" w:eastAsiaTheme="minorHAnsi" w:hAnsi="Arial" w:cs="Arial"/>
          <w:szCs w:val="24"/>
          <w:lang w:eastAsia="en-US"/>
        </w:rPr>
      </w:pPr>
    </w:p>
    <w:p w:rsidR="00990DEB" w:rsidRPr="00A65BBE" w:rsidRDefault="00990DEB" w:rsidP="000343B3">
      <w:pPr>
        <w:autoSpaceDE w:val="0"/>
        <w:autoSpaceDN w:val="0"/>
        <w:adjustRightInd w:val="0"/>
        <w:spacing w:line="276" w:lineRule="auto"/>
        <w:jc w:val="both"/>
        <w:rPr>
          <w:rFonts w:ascii="Arial" w:eastAsiaTheme="minorHAnsi" w:hAnsi="Arial" w:cs="Arial"/>
          <w:szCs w:val="24"/>
          <w:lang w:eastAsia="en-US"/>
        </w:rPr>
      </w:pPr>
      <w:r w:rsidRPr="00A65BBE">
        <w:rPr>
          <w:rFonts w:ascii="Arial" w:hAnsi="Arial" w:cs="Arial"/>
          <w:color w:val="000000"/>
          <w:szCs w:val="24"/>
        </w:rPr>
        <w:t>The figures set out below have been calculated using the standard calculations used in the Equality Act 2010 (Gender Pay Gap Information) Regulations 2017</w:t>
      </w:r>
      <w:r w:rsidR="000343B3">
        <w:rPr>
          <w:rFonts w:ascii="Arial" w:hAnsi="Arial" w:cs="Arial"/>
          <w:color w:val="000000"/>
          <w:szCs w:val="24"/>
        </w:rPr>
        <w:t>.</w:t>
      </w:r>
    </w:p>
    <w:p w:rsidR="00990DEB" w:rsidRPr="00A65BBE" w:rsidRDefault="00990DEB" w:rsidP="00990DEB">
      <w:pPr>
        <w:autoSpaceDE w:val="0"/>
        <w:autoSpaceDN w:val="0"/>
        <w:adjustRightInd w:val="0"/>
        <w:spacing w:line="276" w:lineRule="auto"/>
        <w:rPr>
          <w:rFonts w:ascii="Arial" w:eastAsiaTheme="minorHAnsi" w:hAnsi="Arial" w:cs="Arial"/>
          <w:szCs w:val="24"/>
          <w:lang w:eastAsia="en-US"/>
        </w:rPr>
      </w:pPr>
    </w:p>
    <w:p w:rsidR="00990DEB" w:rsidRPr="00A65BBE" w:rsidRDefault="00990DEB" w:rsidP="00990DEB">
      <w:pPr>
        <w:autoSpaceDE w:val="0"/>
        <w:autoSpaceDN w:val="0"/>
        <w:adjustRightInd w:val="0"/>
        <w:spacing w:line="276" w:lineRule="auto"/>
        <w:rPr>
          <w:rFonts w:ascii="Arial" w:eastAsiaTheme="minorHAnsi" w:hAnsi="Arial" w:cs="Arial"/>
          <w:b/>
          <w:szCs w:val="24"/>
          <w:lang w:eastAsia="en-US"/>
        </w:rPr>
      </w:pPr>
    </w:p>
    <w:p w:rsidR="00990DEB" w:rsidRPr="00A65BBE" w:rsidRDefault="00990DEB" w:rsidP="00990DEB">
      <w:pPr>
        <w:autoSpaceDE w:val="0"/>
        <w:autoSpaceDN w:val="0"/>
        <w:adjustRightInd w:val="0"/>
        <w:spacing w:line="276" w:lineRule="auto"/>
        <w:rPr>
          <w:rFonts w:ascii="Arial" w:eastAsiaTheme="minorHAnsi" w:hAnsi="Arial" w:cs="Arial"/>
          <w:b/>
          <w:szCs w:val="24"/>
          <w:lang w:eastAsia="en-US"/>
        </w:rPr>
      </w:pPr>
      <w:r w:rsidRPr="00A65BBE">
        <w:rPr>
          <w:rFonts w:ascii="Arial" w:eastAsiaTheme="minorHAnsi" w:hAnsi="Arial" w:cs="Arial"/>
          <w:b/>
          <w:szCs w:val="24"/>
          <w:lang w:eastAsia="en-US"/>
        </w:rPr>
        <w:t>Pay and Bonus Gap</w:t>
      </w:r>
    </w:p>
    <w:p w:rsidR="00990DEB" w:rsidRPr="00A65BBE" w:rsidRDefault="00990DEB" w:rsidP="00990DEB">
      <w:pPr>
        <w:autoSpaceDE w:val="0"/>
        <w:autoSpaceDN w:val="0"/>
        <w:adjustRightInd w:val="0"/>
        <w:spacing w:line="276" w:lineRule="auto"/>
        <w:rPr>
          <w:rFonts w:ascii="Arial" w:eastAsiaTheme="minorHAnsi" w:hAnsi="Arial" w:cs="Arial"/>
          <w:b/>
          <w:szCs w:val="24"/>
          <w:lang w:eastAsia="en-US"/>
        </w:rPr>
      </w:pPr>
    </w:p>
    <w:tbl>
      <w:tblPr>
        <w:tblStyle w:val="TableGrid1"/>
        <w:tblW w:w="0" w:type="auto"/>
        <w:tblLook w:val="04A0" w:firstRow="1" w:lastRow="0" w:firstColumn="1" w:lastColumn="0" w:noHBand="0" w:noVBand="1"/>
      </w:tblPr>
      <w:tblGrid>
        <w:gridCol w:w="3080"/>
        <w:gridCol w:w="3081"/>
        <w:gridCol w:w="3081"/>
      </w:tblGrid>
      <w:tr w:rsidR="00990DEB" w:rsidRPr="00A65BBE" w:rsidTr="00E84AF1">
        <w:tc>
          <w:tcPr>
            <w:tcW w:w="9242" w:type="dxa"/>
            <w:gridSpan w:val="3"/>
          </w:tcPr>
          <w:p w:rsidR="00990DEB" w:rsidRPr="00A65BBE" w:rsidRDefault="00990DEB" w:rsidP="00E84AF1">
            <w:pPr>
              <w:autoSpaceDE w:val="0"/>
              <w:autoSpaceDN w:val="0"/>
              <w:adjustRightInd w:val="0"/>
              <w:spacing w:line="276" w:lineRule="auto"/>
              <w:jc w:val="center"/>
              <w:rPr>
                <w:rFonts w:ascii="Arial" w:eastAsiaTheme="minorHAnsi" w:hAnsi="Arial" w:cs="Arial"/>
                <w:b/>
                <w:szCs w:val="24"/>
                <w:lang w:eastAsia="en-US"/>
              </w:rPr>
            </w:pPr>
            <w:r w:rsidRPr="00A65BBE">
              <w:rPr>
                <w:rFonts w:ascii="Arial" w:eastAsiaTheme="minorHAnsi" w:hAnsi="Arial" w:cs="Arial"/>
                <w:b/>
                <w:szCs w:val="24"/>
                <w:lang w:eastAsia="en-US"/>
              </w:rPr>
              <w:t>Difference between male and female</w:t>
            </w:r>
          </w:p>
        </w:tc>
      </w:tr>
      <w:tr w:rsidR="00990DEB" w:rsidRPr="00A65BBE" w:rsidTr="00E84AF1">
        <w:tc>
          <w:tcPr>
            <w:tcW w:w="3080" w:type="dxa"/>
          </w:tcPr>
          <w:p w:rsidR="00990DEB" w:rsidRPr="00A65BBE" w:rsidRDefault="00990DEB" w:rsidP="00E84AF1">
            <w:pPr>
              <w:autoSpaceDE w:val="0"/>
              <w:autoSpaceDN w:val="0"/>
              <w:adjustRightInd w:val="0"/>
              <w:spacing w:line="276" w:lineRule="auto"/>
              <w:rPr>
                <w:rFonts w:ascii="Arial" w:eastAsiaTheme="minorHAnsi" w:hAnsi="Arial" w:cs="Arial"/>
                <w:szCs w:val="24"/>
                <w:lang w:eastAsia="en-US"/>
              </w:rPr>
            </w:pPr>
          </w:p>
        </w:tc>
        <w:tc>
          <w:tcPr>
            <w:tcW w:w="3081" w:type="dxa"/>
          </w:tcPr>
          <w:p w:rsidR="00990DEB" w:rsidRPr="00A65BBE" w:rsidRDefault="00990DEB" w:rsidP="00E84AF1">
            <w:pPr>
              <w:autoSpaceDE w:val="0"/>
              <w:autoSpaceDN w:val="0"/>
              <w:adjustRightInd w:val="0"/>
              <w:spacing w:line="276" w:lineRule="auto"/>
              <w:rPr>
                <w:rFonts w:ascii="Arial" w:eastAsiaTheme="minorHAnsi" w:hAnsi="Arial" w:cs="Arial"/>
                <w:szCs w:val="24"/>
                <w:lang w:eastAsia="en-US"/>
              </w:rPr>
            </w:pPr>
            <w:r w:rsidRPr="00A65BBE">
              <w:rPr>
                <w:rFonts w:ascii="Arial" w:eastAsiaTheme="minorHAnsi" w:hAnsi="Arial" w:cs="Arial"/>
                <w:szCs w:val="24"/>
                <w:lang w:eastAsia="en-US"/>
              </w:rPr>
              <w:t>Mean</w:t>
            </w:r>
          </w:p>
        </w:tc>
        <w:tc>
          <w:tcPr>
            <w:tcW w:w="3081" w:type="dxa"/>
          </w:tcPr>
          <w:p w:rsidR="00990DEB" w:rsidRPr="00A65BBE" w:rsidRDefault="00990DEB" w:rsidP="00E84AF1">
            <w:pPr>
              <w:autoSpaceDE w:val="0"/>
              <w:autoSpaceDN w:val="0"/>
              <w:adjustRightInd w:val="0"/>
              <w:spacing w:line="276" w:lineRule="auto"/>
              <w:rPr>
                <w:rFonts w:ascii="Arial" w:eastAsiaTheme="minorHAnsi" w:hAnsi="Arial" w:cs="Arial"/>
                <w:szCs w:val="24"/>
                <w:lang w:eastAsia="en-US"/>
              </w:rPr>
            </w:pPr>
            <w:r w:rsidRPr="00A65BBE">
              <w:rPr>
                <w:rFonts w:ascii="Arial" w:eastAsiaTheme="minorHAnsi" w:hAnsi="Arial" w:cs="Arial"/>
                <w:szCs w:val="24"/>
                <w:lang w:eastAsia="en-US"/>
              </w:rPr>
              <w:t>Median</w:t>
            </w:r>
          </w:p>
        </w:tc>
      </w:tr>
      <w:tr w:rsidR="00990DEB" w:rsidRPr="00A65BBE" w:rsidTr="00E84AF1">
        <w:tc>
          <w:tcPr>
            <w:tcW w:w="3080" w:type="dxa"/>
          </w:tcPr>
          <w:p w:rsidR="00990DEB" w:rsidRPr="00A65BBE" w:rsidRDefault="00990DEB" w:rsidP="00E84AF1">
            <w:pPr>
              <w:autoSpaceDE w:val="0"/>
              <w:autoSpaceDN w:val="0"/>
              <w:adjustRightInd w:val="0"/>
              <w:spacing w:line="276" w:lineRule="auto"/>
              <w:rPr>
                <w:rFonts w:ascii="Arial" w:eastAsiaTheme="minorHAnsi" w:hAnsi="Arial" w:cs="Arial"/>
                <w:szCs w:val="24"/>
                <w:lang w:eastAsia="en-US"/>
              </w:rPr>
            </w:pPr>
            <w:r w:rsidRPr="00A65BBE">
              <w:rPr>
                <w:rFonts w:ascii="Arial" w:eastAsiaTheme="minorHAnsi" w:hAnsi="Arial" w:cs="Arial"/>
                <w:szCs w:val="24"/>
                <w:lang w:eastAsia="en-US"/>
              </w:rPr>
              <w:t>Hourly fixed pay</w:t>
            </w:r>
          </w:p>
        </w:tc>
        <w:tc>
          <w:tcPr>
            <w:tcW w:w="3081" w:type="dxa"/>
          </w:tcPr>
          <w:p w:rsidR="00990DEB" w:rsidRPr="00A65BBE" w:rsidRDefault="00990DEB" w:rsidP="00E84AF1">
            <w:pPr>
              <w:autoSpaceDE w:val="0"/>
              <w:autoSpaceDN w:val="0"/>
              <w:adjustRightInd w:val="0"/>
              <w:spacing w:line="276" w:lineRule="auto"/>
              <w:rPr>
                <w:rFonts w:ascii="Arial" w:eastAsiaTheme="minorHAnsi" w:hAnsi="Arial" w:cs="Arial"/>
                <w:szCs w:val="24"/>
                <w:lang w:eastAsia="en-US"/>
              </w:rPr>
            </w:pPr>
            <w:r w:rsidRPr="00A65BBE">
              <w:rPr>
                <w:rFonts w:ascii="Arial" w:eastAsiaTheme="minorHAnsi" w:hAnsi="Arial" w:cs="Arial"/>
                <w:szCs w:val="24"/>
                <w:lang w:eastAsia="en-US"/>
              </w:rPr>
              <w:t>5.4%</w:t>
            </w:r>
          </w:p>
        </w:tc>
        <w:tc>
          <w:tcPr>
            <w:tcW w:w="3081" w:type="dxa"/>
          </w:tcPr>
          <w:p w:rsidR="00990DEB" w:rsidRPr="00A65BBE" w:rsidRDefault="00990DEB" w:rsidP="00E84AF1">
            <w:pPr>
              <w:autoSpaceDE w:val="0"/>
              <w:autoSpaceDN w:val="0"/>
              <w:adjustRightInd w:val="0"/>
              <w:spacing w:line="276" w:lineRule="auto"/>
              <w:rPr>
                <w:rFonts w:ascii="Arial" w:eastAsiaTheme="minorHAnsi" w:hAnsi="Arial" w:cs="Arial"/>
                <w:szCs w:val="24"/>
                <w:lang w:eastAsia="en-US"/>
              </w:rPr>
            </w:pPr>
            <w:r w:rsidRPr="00A65BBE">
              <w:rPr>
                <w:rFonts w:ascii="Arial" w:eastAsiaTheme="minorHAnsi" w:hAnsi="Arial" w:cs="Arial"/>
                <w:szCs w:val="24"/>
                <w:lang w:eastAsia="en-US"/>
              </w:rPr>
              <w:t>4.3%</w:t>
            </w:r>
          </w:p>
        </w:tc>
      </w:tr>
      <w:tr w:rsidR="00990DEB" w:rsidRPr="00A65BBE" w:rsidTr="00E84AF1">
        <w:tc>
          <w:tcPr>
            <w:tcW w:w="3080" w:type="dxa"/>
          </w:tcPr>
          <w:p w:rsidR="00990DEB" w:rsidRPr="00A65BBE" w:rsidRDefault="00990DEB" w:rsidP="00E84AF1">
            <w:pPr>
              <w:autoSpaceDE w:val="0"/>
              <w:autoSpaceDN w:val="0"/>
              <w:adjustRightInd w:val="0"/>
              <w:spacing w:line="276" w:lineRule="auto"/>
              <w:rPr>
                <w:rFonts w:ascii="Arial" w:eastAsiaTheme="minorHAnsi" w:hAnsi="Arial" w:cs="Arial"/>
                <w:szCs w:val="24"/>
                <w:lang w:eastAsia="en-US"/>
              </w:rPr>
            </w:pPr>
            <w:r w:rsidRPr="00A65BBE">
              <w:rPr>
                <w:rFonts w:ascii="Arial" w:eastAsiaTheme="minorHAnsi" w:hAnsi="Arial" w:cs="Arial"/>
                <w:szCs w:val="24"/>
                <w:lang w:eastAsia="en-US"/>
              </w:rPr>
              <w:t>Bonus paid</w:t>
            </w:r>
          </w:p>
        </w:tc>
        <w:tc>
          <w:tcPr>
            <w:tcW w:w="3081" w:type="dxa"/>
          </w:tcPr>
          <w:p w:rsidR="00990DEB" w:rsidRPr="00A65BBE" w:rsidRDefault="00990DEB" w:rsidP="00E84AF1">
            <w:pPr>
              <w:autoSpaceDE w:val="0"/>
              <w:autoSpaceDN w:val="0"/>
              <w:adjustRightInd w:val="0"/>
              <w:spacing w:line="276" w:lineRule="auto"/>
              <w:rPr>
                <w:rFonts w:ascii="Arial" w:eastAsiaTheme="minorHAnsi" w:hAnsi="Arial" w:cs="Arial"/>
                <w:szCs w:val="24"/>
                <w:lang w:eastAsia="en-US"/>
              </w:rPr>
            </w:pPr>
            <w:r w:rsidRPr="00A65BBE">
              <w:rPr>
                <w:rFonts w:ascii="Arial" w:eastAsiaTheme="minorHAnsi" w:hAnsi="Arial" w:cs="Arial"/>
                <w:szCs w:val="24"/>
                <w:lang w:eastAsia="en-US"/>
              </w:rPr>
              <w:t>0%</w:t>
            </w:r>
          </w:p>
        </w:tc>
        <w:tc>
          <w:tcPr>
            <w:tcW w:w="3081" w:type="dxa"/>
          </w:tcPr>
          <w:p w:rsidR="00990DEB" w:rsidRPr="00A65BBE" w:rsidRDefault="00990DEB" w:rsidP="00E84AF1">
            <w:pPr>
              <w:autoSpaceDE w:val="0"/>
              <w:autoSpaceDN w:val="0"/>
              <w:adjustRightInd w:val="0"/>
              <w:spacing w:line="276" w:lineRule="auto"/>
              <w:rPr>
                <w:rFonts w:ascii="Arial" w:eastAsiaTheme="minorHAnsi" w:hAnsi="Arial" w:cs="Arial"/>
                <w:szCs w:val="24"/>
                <w:lang w:eastAsia="en-US"/>
              </w:rPr>
            </w:pPr>
            <w:r w:rsidRPr="00A65BBE">
              <w:rPr>
                <w:rFonts w:ascii="Arial" w:eastAsiaTheme="minorHAnsi" w:hAnsi="Arial" w:cs="Arial"/>
                <w:szCs w:val="24"/>
                <w:lang w:eastAsia="en-US"/>
              </w:rPr>
              <w:t>0%</w:t>
            </w:r>
          </w:p>
        </w:tc>
      </w:tr>
    </w:tbl>
    <w:p w:rsidR="00990DEB" w:rsidRPr="00A65BBE" w:rsidRDefault="00990DEB" w:rsidP="000343B3">
      <w:pPr>
        <w:pStyle w:val="ListParagraph"/>
        <w:numPr>
          <w:ilvl w:val="0"/>
          <w:numId w:val="2"/>
        </w:numPr>
        <w:spacing w:before="192" w:after="192" w:line="276" w:lineRule="auto"/>
        <w:jc w:val="both"/>
        <w:rPr>
          <w:rFonts w:ascii="Arial" w:hAnsi="Arial" w:cs="Arial"/>
          <w:szCs w:val="24"/>
          <w:lang w:val="en"/>
        </w:rPr>
      </w:pPr>
      <w:r w:rsidRPr="00A65BBE">
        <w:rPr>
          <w:rFonts w:ascii="Arial" w:hAnsi="Arial" w:cs="Arial"/>
          <w:szCs w:val="24"/>
          <w:lang w:val="en"/>
        </w:rPr>
        <w:t xml:space="preserve">The table above shows High Life Highland’s mean and median gender pay gap based on hourly rates of pay.  </w:t>
      </w:r>
    </w:p>
    <w:p w:rsidR="00990DEB" w:rsidRPr="00A65BBE" w:rsidRDefault="00990DEB" w:rsidP="000343B3">
      <w:pPr>
        <w:pStyle w:val="ListParagraph"/>
        <w:numPr>
          <w:ilvl w:val="0"/>
          <w:numId w:val="2"/>
        </w:numPr>
        <w:spacing w:before="192" w:after="192" w:line="276" w:lineRule="auto"/>
        <w:jc w:val="both"/>
        <w:rPr>
          <w:rFonts w:ascii="Arial" w:hAnsi="Arial" w:cs="Arial"/>
          <w:szCs w:val="24"/>
          <w:lang w:val="en"/>
        </w:rPr>
      </w:pPr>
      <w:r w:rsidRPr="00A65BBE">
        <w:rPr>
          <w:rFonts w:ascii="Arial" w:hAnsi="Arial" w:cs="Arial"/>
          <w:szCs w:val="24"/>
          <w:lang w:val="en"/>
        </w:rPr>
        <w:t>There were no bonuses paid to any staff in the year up to 31 March 2017.</w:t>
      </w:r>
    </w:p>
    <w:p w:rsidR="00990DEB" w:rsidRPr="00A65BBE" w:rsidRDefault="00990DEB" w:rsidP="000343B3">
      <w:pPr>
        <w:pStyle w:val="ListParagraph"/>
        <w:numPr>
          <w:ilvl w:val="0"/>
          <w:numId w:val="2"/>
        </w:numPr>
        <w:spacing w:before="192" w:after="192" w:line="276" w:lineRule="auto"/>
        <w:jc w:val="both"/>
        <w:rPr>
          <w:rFonts w:ascii="Arial" w:hAnsi="Arial" w:cs="Arial"/>
          <w:szCs w:val="24"/>
          <w:lang w:val="en"/>
        </w:rPr>
      </w:pPr>
      <w:r w:rsidRPr="00A65BBE">
        <w:rPr>
          <w:rFonts w:ascii="Arial" w:hAnsi="Arial" w:cs="Arial"/>
          <w:szCs w:val="24"/>
          <w:lang w:val="en"/>
        </w:rPr>
        <w:t xml:space="preserve">High Life Highland’s mean pay gap of 5.4% is over 12.6% less than the national average of over 18% as stated on the UK Government website. </w:t>
      </w:r>
    </w:p>
    <w:p w:rsidR="00990DEB" w:rsidRPr="00A65BBE" w:rsidRDefault="00990DEB" w:rsidP="000343B3">
      <w:pPr>
        <w:pStyle w:val="ListParagraph"/>
        <w:numPr>
          <w:ilvl w:val="0"/>
          <w:numId w:val="2"/>
        </w:numPr>
        <w:spacing w:before="192" w:after="192" w:line="276" w:lineRule="auto"/>
        <w:jc w:val="both"/>
        <w:rPr>
          <w:rFonts w:ascii="Arial" w:hAnsi="Arial" w:cs="Arial"/>
          <w:szCs w:val="24"/>
          <w:lang w:val="en"/>
        </w:rPr>
      </w:pPr>
      <w:r w:rsidRPr="00A65BBE">
        <w:rPr>
          <w:rFonts w:ascii="Arial" w:hAnsi="Arial" w:cs="Arial"/>
          <w:szCs w:val="24"/>
          <w:lang w:val="en"/>
        </w:rPr>
        <w:t>With a 4.3% median pay gap, High Life Highland is 1.7% below the official Scottish Government figure of 6%, which uses full time gross median hourly earnings as its base.  However the overall pay gap in Scotland, which includes both full and part time workers, shows a figure of 16%, 11.7% higher than the equivalent median pay gap of High Life Highland.</w:t>
      </w:r>
    </w:p>
    <w:p w:rsidR="00990DEB" w:rsidRPr="00A65BBE" w:rsidRDefault="00990DEB" w:rsidP="00990DEB">
      <w:pPr>
        <w:shd w:val="clear" w:color="auto" w:fill="FFFFFF"/>
        <w:spacing w:before="100" w:beforeAutospacing="1" w:after="180" w:line="276" w:lineRule="auto"/>
        <w:rPr>
          <w:rFonts w:ascii="Arial" w:hAnsi="Arial" w:cs="Arial"/>
          <w:b/>
          <w:szCs w:val="24"/>
        </w:rPr>
      </w:pPr>
    </w:p>
    <w:p w:rsidR="00990DEB" w:rsidRPr="00A65BBE" w:rsidRDefault="00990DEB" w:rsidP="00990DEB">
      <w:pPr>
        <w:shd w:val="clear" w:color="auto" w:fill="FFFFFF"/>
        <w:spacing w:before="100" w:beforeAutospacing="1" w:after="180" w:line="276" w:lineRule="auto"/>
        <w:rPr>
          <w:rFonts w:ascii="Arial" w:hAnsi="Arial" w:cs="Arial"/>
          <w:b/>
          <w:szCs w:val="24"/>
        </w:rPr>
      </w:pPr>
    </w:p>
    <w:p w:rsidR="00990DEB" w:rsidRPr="00A65BBE" w:rsidRDefault="00990DEB" w:rsidP="00990DEB">
      <w:pPr>
        <w:shd w:val="clear" w:color="auto" w:fill="FFFFFF"/>
        <w:spacing w:before="100" w:beforeAutospacing="1" w:after="180" w:line="276" w:lineRule="auto"/>
        <w:rPr>
          <w:rFonts w:ascii="Arial" w:hAnsi="Arial" w:cs="Arial"/>
          <w:b/>
          <w:szCs w:val="24"/>
        </w:rPr>
      </w:pPr>
    </w:p>
    <w:p w:rsidR="00990DEB" w:rsidRPr="00A65BBE" w:rsidRDefault="00990DEB" w:rsidP="00990DEB">
      <w:pPr>
        <w:shd w:val="clear" w:color="auto" w:fill="FFFFFF"/>
        <w:spacing w:before="100" w:beforeAutospacing="1" w:after="180" w:line="276" w:lineRule="auto"/>
        <w:rPr>
          <w:rFonts w:ascii="Arial" w:hAnsi="Arial" w:cs="Arial"/>
          <w:b/>
          <w:szCs w:val="24"/>
        </w:rPr>
      </w:pPr>
    </w:p>
    <w:p w:rsidR="00990DEB" w:rsidRPr="00A65BBE" w:rsidRDefault="00990DEB" w:rsidP="00990DEB">
      <w:pPr>
        <w:shd w:val="clear" w:color="auto" w:fill="FFFFFF"/>
        <w:spacing w:before="100" w:beforeAutospacing="1" w:after="180" w:line="276" w:lineRule="auto"/>
        <w:rPr>
          <w:rFonts w:ascii="Arial" w:hAnsi="Arial" w:cs="Arial"/>
          <w:b/>
          <w:szCs w:val="24"/>
        </w:rPr>
      </w:pPr>
    </w:p>
    <w:p w:rsidR="00990DEB" w:rsidRPr="00A65BBE" w:rsidRDefault="00990DEB" w:rsidP="00990DEB">
      <w:pPr>
        <w:shd w:val="clear" w:color="auto" w:fill="FFFFFF"/>
        <w:spacing w:before="100" w:beforeAutospacing="1" w:after="180" w:line="276" w:lineRule="auto"/>
        <w:rPr>
          <w:rFonts w:ascii="Arial" w:hAnsi="Arial" w:cs="Arial"/>
          <w:b/>
          <w:szCs w:val="24"/>
        </w:rPr>
      </w:pPr>
    </w:p>
    <w:p w:rsidR="00990DEB" w:rsidRPr="00A65BBE" w:rsidRDefault="00990DEB" w:rsidP="00990DEB">
      <w:pPr>
        <w:shd w:val="clear" w:color="auto" w:fill="FFFFFF"/>
        <w:spacing w:before="100" w:beforeAutospacing="1" w:after="180" w:line="276" w:lineRule="auto"/>
        <w:rPr>
          <w:rFonts w:ascii="Arial" w:hAnsi="Arial" w:cs="Arial"/>
          <w:b/>
          <w:szCs w:val="24"/>
        </w:rPr>
      </w:pPr>
      <w:r w:rsidRPr="00A65BBE">
        <w:rPr>
          <w:rFonts w:ascii="Arial" w:hAnsi="Arial" w:cs="Arial"/>
          <w:b/>
          <w:szCs w:val="24"/>
        </w:rPr>
        <w:lastRenderedPageBreak/>
        <w:t>Pay Quartiles by Gender</w:t>
      </w:r>
    </w:p>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321"/>
        <w:gridCol w:w="5770"/>
      </w:tblGrid>
      <w:tr w:rsidR="00990DEB" w:rsidRPr="00A65BBE" w:rsidTr="00E84AF1">
        <w:trPr>
          <w:trHeight w:val="462"/>
          <w:tblHeader/>
        </w:trPr>
        <w:tc>
          <w:tcPr>
            <w:tcW w:w="0" w:type="auto"/>
            <w:tcBorders>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b/>
                <w:bCs/>
                <w:szCs w:val="24"/>
                <w:lang w:eastAsia="en-US"/>
              </w:rPr>
            </w:pPr>
            <w:r w:rsidRPr="00A65BBE">
              <w:rPr>
                <w:rFonts w:ascii="Arial" w:eastAsiaTheme="minorHAnsi" w:hAnsi="Arial" w:cs="Arial"/>
                <w:b/>
                <w:bCs/>
                <w:szCs w:val="24"/>
                <w:lang w:eastAsia="en-US"/>
              </w:rPr>
              <w:t>Quartile</w:t>
            </w:r>
          </w:p>
        </w:tc>
        <w:tc>
          <w:tcPr>
            <w:tcW w:w="0" w:type="auto"/>
            <w:tcBorders>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b/>
                <w:bCs/>
                <w:szCs w:val="24"/>
                <w:lang w:eastAsia="en-US"/>
              </w:rPr>
            </w:pPr>
            <w:r w:rsidRPr="00A65BBE">
              <w:rPr>
                <w:rFonts w:ascii="Arial" w:eastAsiaTheme="minorHAnsi" w:hAnsi="Arial" w:cs="Arial"/>
                <w:b/>
                <w:bCs/>
                <w:szCs w:val="24"/>
                <w:lang w:eastAsia="en-US"/>
              </w:rPr>
              <w:t>Males</w:t>
            </w:r>
          </w:p>
        </w:tc>
        <w:tc>
          <w:tcPr>
            <w:tcW w:w="0" w:type="auto"/>
            <w:tcBorders>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b/>
                <w:bCs/>
                <w:szCs w:val="24"/>
                <w:lang w:eastAsia="en-US"/>
              </w:rPr>
            </w:pPr>
            <w:r w:rsidRPr="00A65BBE">
              <w:rPr>
                <w:rFonts w:ascii="Arial" w:eastAsiaTheme="minorHAnsi" w:hAnsi="Arial" w:cs="Arial"/>
                <w:b/>
                <w:bCs/>
                <w:szCs w:val="24"/>
                <w:lang w:eastAsia="en-US"/>
              </w:rPr>
              <w:t>Females</w:t>
            </w:r>
          </w:p>
        </w:tc>
        <w:tc>
          <w:tcPr>
            <w:tcW w:w="0" w:type="auto"/>
            <w:tcBorders>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b/>
                <w:bCs/>
                <w:szCs w:val="24"/>
                <w:lang w:eastAsia="en-US"/>
              </w:rPr>
            </w:pPr>
            <w:r w:rsidRPr="00A65BBE">
              <w:rPr>
                <w:rFonts w:ascii="Arial" w:eastAsiaTheme="minorHAnsi" w:hAnsi="Arial" w:cs="Arial"/>
                <w:b/>
                <w:bCs/>
                <w:szCs w:val="24"/>
                <w:lang w:eastAsia="en-US"/>
              </w:rPr>
              <w:t>Description</w:t>
            </w:r>
          </w:p>
        </w:tc>
      </w:tr>
      <w:tr w:rsidR="00990DEB" w:rsidRPr="00A65BBE" w:rsidTr="00E84AF1">
        <w:trPr>
          <w:trHeight w:val="98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30%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70%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0343B3">
            <w:pPr>
              <w:spacing w:after="200" w:line="276" w:lineRule="auto"/>
              <w:jc w:val="both"/>
              <w:rPr>
                <w:rFonts w:ascii="Arial" w:eastAsiaTheme="minorHAnsi" w:hAnsi="Arial" w:cs="Arial"/>
                <w:szCs w:val="24"/>
                <w:lang w:eastAsia="en-US"/>
              </w:rPr>
            </w:pPr>
            <w:r w:rsidRPr="00A65BBE">
              <w:rPr>
                <w:rFonts w:ascii="Arial" w:eastAsiaTheme="minorHAnsi" w:hAnsi="Arial" w:cs="Arial"/>
                <w:szCs w:val="24"/>
                <w:lang w:eastAsia="en-US"/>
              </w:rPr>
              <w:t>Includes all High Life Highland employees whose standard hourly rate places them in the 1</w:t>
            </w:r>
            <w:r w:rsidRPr="00A65BBE">
              <w:rPr>
                <w:rFonts w:ascii="Arial" w:eastAsiaTheme="minorHAnsi" w:hAnsi="Arial" w:cs="Arial"/>
                <w:szCs w:val="24"/>
                <w:vertAlign w:val="superscript"/>
                <w:lang w:eastAsia="en-US"/>
              </w:rPr>
              <w:t>st</w:t>
            </w:r>
            <w:r w:rsidRPr="00A65BBE">
              <w:rPr>
                <w:rFonts w:ascii="Arial" w:eastAsiaTheme="minorHAnsi" w:hAnsi="Arial" w:cs="Arial"/>
                <w:szCs w:val="24"/>
                <w:lang w:eastAsia="en-US"/>
              </w:rPr>
              <w:t xml:space="preserve"> and lowest pay quartile.</w:t>
            </w:r>
          </w:p>
        </w:tc>
      </w:tr>
      <w:tr w:rsidR="00990DEB" w:rsidRPr="00A65BBE" w:rsidTr="00E84AF1">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40%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60%</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0343B3">
            <w:pPr>
              <w:spacing w:after="200" w:line="276" w:lineRule="auto"/>
              <w:jc w:val="both"/>
              <w:rPr>
                <w:rFonts w:ascii="Arial" w:eastAsiaTheme="minorHAnsi" w:hAnsi="Arial" w:cs="Arial"/>
                <w:szCs w:val="24"/>
                <w:lang w:eastAsia="en-US"/>
              </w:rPr>
            </w:pPr>
            <w:r w:rsidRPr="00A65BBE">
              <w:rPr>
                <w:rFonts w:ascii="Arial" w:eastAsiaTheme="minorHAnsi" w:hAnsi="Arial" w:cs="Arial"/>
                <w:szCs w:val="24"/>
                <w:lang w:eastAsia="en-US"/>
              </w:rPr>
              <w:t>Includes all High Life Highland employees whose standard hourly rate places them below the median pay in the 2</w:t>
            </w:r>
            <w:r w:rsidRPr="00A65BBE">
              <w:rPr>
                <w:rFonts w:ascii="Arial" w:eastAsiaTheme="minorHAnsi" w:hAnsi="Arial" w:cs="Arial"/>
                <w:szCs w:val="24"/>
                <w:vertAlign w:val="superscript"/>
                <w:lang w:eastAsia="en-US"/>
              </w:rPr>
              <w:t>nd</w:t>
            </w:r>
            <w:r w:rsidRPr="00A65BBE">
              <w:rPr>
                <w:rFonts w:ascii="Arial" w:eastAsiaTheme="minorHAnsi" w:hAnsi="Arial" w:cs="Arial"/>
                <w:szCs w:val="24"/>
                <w:lang w:eastAsia="en-US"/>
              </w:rPr>
              <w:t xml:space="preserve"> pay quartile. </w:t>
            </w:r>
          </w:p>
        </w:tc>
      </w:tr>
      <w:tr w:rsidR="00990DEB" w:rsidRPr="00A65BBE" w:rsidTr="00E84AF1">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38%</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62%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0343B3">
            <w:pPr>
              <w:spacing w:after="200" w:line="276" w:lineRule="auto"/>
              <w:jc w:val="both"/>
              <w:rPr>
                <w:rFonts w:ascii="Arial" w:eastAsiaTheme="minorHAnsi" w:hAnsi="Arial" w:cs="Arial"/>
                <w:szCs w:val="24"/>
                <w:lang w:eastAsia="en-US"/>
              </w:rPr>
            </w:pPr>
            <w:r w:rsidRPr="00A65BBE">
              <w:rPr>
                <w:rFonts w:ascii="Arial" w:eastAsiaTheme="minorHAnsi" w:hAnsi="Arial" w:cs="Arial"/>
                <w:szCs w:val="24"/>
                <w:lang w:eastAsia="en-US"/>
              </w:rPr>
              <w:t>Includes all High Life Highland employees whose standard hourly rate places them above the median pay in the 3</w:t>
            </w:r>
            <w:r w:rsidRPr="00A65BBE">
              <w:rPr>
                <w:rFonts w:ascii="Arial" w:eastAsiaTheme="minorHAnsi" w:hAnsi="Arial" w:cs="Arial"/>
                <w:szCs w:val="24"/>
                <w:vertAlign w:val="superscript"/>
                <w:lang w:eastAsia="en-US"/>
              </w:rPr>
              <w:t>rd</w:t>
            </w:r>
            <w:r w:rsidRPr="00A65BBE">
              <w:rPr>
                <w:rFonts w:ascii="Arial" w:eastAsiaTheme="minorHAnsi" w:hAnsi="Arial" w:cs="Arial"/>
                <w:szCs w:val="24"/>
                <w:lang w:eastAsia="en-US"/>
              </w:rPr>
              <w:t xml:space="preserve"> pay quartile.</w:t>
            </w:r>
          </w:p>
        </w:tc>
      </w:tr>
      <w:tr w:rsidR="00990DEB" w:rsidRPr="00A65BBE" w:rsidTr="00E84AF1">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38%</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E84AF1">
            <w:pPr>
              <w:spacing w:after="200" w:line="276" w:lineRule="auto"/>
              <w:rPr>
                <w:rFonts w:ascii="Arial" w:eastAsiaTheme="minorHAnsi" w:hAnsi="Arial" w:cs="Arial"/>
                <w:szCs w:val="24"/>
                <w:lang w:eastAsia="en-US"/>
              </w:rPr>
            </w:pPr>
            <w:r w:rsidRPr="00A65BBE">
              <w:rPr>
                <w:rFonts w:ascii="Arial" w:eastAsiaTheme="minorHAnsi" w:hAnsi="Arial" w:cs="Arial"/>
                <w:szCs w:val="24"/>
                <w:lang w:eastAsia="en-US"/>
              </w:rPr>
              <w:t>62%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990DEB" w:rsidRPr="00A65BBE" w:rsidRDefault="00990DEB" w:rsidP="000343B3">
            <w:pPr>
              <w:spacing w:after="200" w:line="276" w:lineRule="auto"/>
              <w:jc w:val="both"/>
              <w:rPr>
                <w:rFonts w:ascii="Arial" w:eastAsiaTheme="minorHAnsi" w:hAnsi="Arial" w:cs="Arial"/>
                <w:szCs w:val="24"/>
                <w:lang w:eastAsia="en-US"/>
              </w:rPr>
            </w:pPr>
            <w:r w:rsidRPr="00A65BBE">
              <w:rPr>
                <w:rFonts w:ascii="Arial" w:eastAsiaTheme="minorHAnsi" w:hAnsi="Arial" w:cs="Arial"/>
                <w:szCs w:val="24"/>
                <w:lang w:eastAsia="en-US"/>
              </w:rPr>
              <w:t>Includes all High Life Highland employees whose standard hourly rate places them in the 4</w:t>
            </w:r>
            <w:r w:rsidRPr="00A65BBE">
              <w:rPr>
                <w:rFonts w:ascii="Arial" w:eastAsiaTheme="minorHAnsi" w:hAnsi="Arial" w:cs="Arial"/>
                <w:szCs w:val="24"/>
                <w:vertAlign w:val="superscript"/>
                <w:lang w:eastAsia="en-US"/>
              </w:rPr>
              <w:t>th</w:t>
            </w:r>
            <w:r w:rsidRPr="00A65BBE">
              <w:rPr>
                <w:rFonts w:ascii="Arial" w:eastAsiaTheme="minorHAnsi" w:hAnsi="Arial" w:cs="Arial"/>
                <w:szCs w:val="24"/>
                <w:lang w:eastAsia="en-US"/>
              </w:rPr>
              <w:t xml:space="preserve"> and therefore highest pay quartile.</w:t>
            </w:r>
          </w:p>
        </w:tc>
      </w:tr>
    </w:tbl>
    <w:p w:rsidR="00990DEB" w:rsidRPr="00A65BBE" w:rsidRDefault="00990DEB" w:rsidP="000343B3">
      <w:pPr>
        <w:pStyle w:val="ListParagraph"/>
        <w:numPr>
          <w:ilvl w:val="0"/>
          <w:numId w:val="3"/>
        </w:numPr>
        <w:spacing w:before="192" w:after="192" w:line="276" w:lineRule="auto"/>
        <w:jc w:val="both"/>
        <w:rPr>
          <w:rFonts w:ascii="Arial" w:hAnsi="Arial" w:cs="Arial"/>
          <w:szCs w:val="24"/>
          <w:lang w:val="en"/>
        </w:rPr>
      </w:pPr>
      <w:r w:rsidRPr="00A65BBE">
        <w:rPr>
          <w:rFonts w:ascii="Arial" w:hAnsi="Arial" w:cs="Arial"/>
          <w:szCs w:val="24"/>
          <w:lang w:val="en"/>
        </w:rPr>
        <w:t>The table above sets out the gender distribution at High Life Highland across four equally sized quartiles, each containing 223 employees.</w:t>
      </w:r>
    </w:p>
    <w:p w:rsidR="00990DEB" w:rsidRPr="00A65BBE" w:rsidRDefault="00990DEB" w:rsidP="000343B3">
      <w:pPr>
        <w:pStyle w:val="ListParagraph"/>
        <w:numPr>
          <w:ilvl w:val="0"/>
          <w:numId w:val="3"/>
        </w:numPr>
        <w:spacing w:before="192" w:after="192" w:line="276" w:lineRule="auto"/>
        <w:jc w:val="both"/>
        <w:rPr>
          <w:rFonts w:ascii="Arial" w:hAnsi="Arial" w:cs="Arial"/>
          <w:szCs w:val="24"/>
          <w:lang w:val="en"/>
        </w:rPr>
      </w:pPr>
      <w:r w:rsidRPr="00A65BBE">
        <w:rPr>
          <w:rFonts w:ascii="Arial" w:hAnsi="Arial" w:cs="Arial"/>
          <w:szCs w:val="24"/>
          <w:lang w:val="en"/>
        </w:rPr>
        <w:t>With an overall split of 36.5% male to 63.5% female within High Life Highland each quartile shows a gender distribution which very closely matches this overall ratio.</w:t>
      </w:r>
    </w:p>
    <w:p w:rsidR="00990DEB" w:rsidRDefault="00990DEB" w:rsidP="00990DEB">
      <w:pPr>
        <w:spacing w:line="276" w:lineRule="auto"/>
        <w:rPr>
          <w:rFonts w:ascii="Arial" w:eastAsiaTheme="minorHAnsi" w:hAnsi="Arial" w:cs="Arial"/>
          <w:szCs w:val="24"/>
          <w:lang w:eastAsia="en-US"/>
        </w:rPr>
      </w:pPr>
    </w:p>
    <w:p w:rsidR="00990DEB" w:rsidRPr="00A65BBE" w:rsidRDefault="00990DEB" w:rsidP="000343B3">
      <w:pPr>
        <w:spacing w:line="276" w:lineRule="auto"/>
        <w:jc w:val="both"/>
        <w:rPr>
          <w:rFonts w:ascii="Arial" w:eastAsiaTheme="minorHAnsi" w:hAnsi="Arial" w:cs="Arial"/>
          <w:szCs w:val="24"/>
          <w:lang w:eastAsia="en-US"/>
        </w:rPr>
      </w:pPr>
      <w:r w:rsidRPr="00A65BBE">
        <w:rPr>
          <w:rFonts w:ascii="Arial" w:eastAsiaTheme="minorHAnsi" w:hAnsi="Arial" w:cs="Arial"/>
          <w:szCs w:val="24"/>
          <w:lang w:eastAsia="en-US"/>
        </w:rPr>
        <w:t xml:space="preserve">High Life Highland is committed to the promotion of equality of opportunity in its employment practices.  The Company’s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w:t>
      </w:r>
      <w:proofErr w:type="spellStart"/>
      <w:r w:rsidRPr="00A65BBE">
        <w:rPr>
          <w:rFonts w:ascii="Arial" w:eastAsiaTheme="minorHAnsi" w:hAnsi="Arial" w:cs="Arial"/>
          <w:szCs w:val="24"/>
          <w:lang w:eastAsia="en-US"/>
        </w:rPr>
        <w:t>non job</w:t>
      </w:r>
      <w:proofErr w:type="spellEnd"/>
      <w:r w:rsidRPr="00A65BBE">
        <w:rPr>
          <w:rFonts w:ascii="Arial" w:eastAsiaTheme="minorHAnsi" w:hAnsi="Arial" w:cs="Arial"/>
          <w:szCs w:val="24"/>
          <w:lang w:eastAsia="en-US"/>
        </w:rPr>
        <w:t xml:space="preserve"> related factor.  </w:t>
      </w:r>
    </w:p>
    <w:p w:rsidR="00990DEB" w:rsidRDefault="00990DEB" w:rsidP="000343B3">
      <w:pPr>
        <w:spacing w:line="276" w:lineRule="auto"/>
        <w:jc w:val="both"/>
        <w:rPr>
          <w:rFonts w:ascii="Arial" w:eastAsiaTheme="minorHAnsi" w:hAnsi="Arial" w:cs="Arial"/>
          <w:szCs w:val="24"/>
          <w:lang w:eastAsia="en-US"/>
        </w:rPr>
      </w:pPr>
    </w:p>
    <w:p w:rsidR="00990DEB" w:rsidRPr="00A65BBE" w:rsidRDefault="00990DEB" w:rsidP="000343B3">
      <w:pPr>
        <w:spacing w:line="276" w:lineRule="auto"/>
        <w:jc w:val="both"/>
        <w:rPr>
          <w:rFonts w:ascii="Arial" w:eastAsiaTheme="minorHAnsi" w:hAnsi="Arial" w:cs="Arial"/>
          <w:szCs w:val="24"/>
          <w:lang w:val="en" w:eastAsia="en-US"/>
        </w:rPr>
      </w:pPr>
      <w:r w:rsidRPr="00A65BBE">
        <w:rPr>
          <w:rFonts w:ascii="Arial" w:eastAsiaTheme="minorHAnsi" w:hAnsi="Arial" w:cs="Arial"/>
          <w:szCs w:val="24"/>
          <w:lang w:eastAsia="en-US"/>
        </w:rPr>
        <w:t xml:space="preserve">High Life Highland is </w:t>
      </w:r>
      <w:r>
        <w:rPr>
          <w:rFonts w:ascii="Arial" w:eastAsiaTheme="minorHAnsi" w:hAnsi="Arial" w:cs="Arial"/>
          <w:szCs w:val="24"/>
          <w:lang w:eastAsia="en-US"/>
        </w:rPr>
        <w:t xml:space="preserve">also </w:t>
      </w:r>
      <w:r w:rsidRPr="00A65BBE">
        <w:rPr>
          <w:rFonts w:ascii="Arial" w:eastAsiaTheme="minorHAnsi" w:hAnsi="Arial" w:cs="Arial"/>
          <w:szCs w:val="24"/>
          <w:lang w:eastAsia="en-US"/>
        </w:rPr>
        <w:t xml:space="preserve">confident that males and females are paid the same rate </w:t>
      </w:r>
      <w:r w:rsidRPr="00A65BBE">
        <w:rPr>
          <w:rFonts w:ascii="Arial" w:eastAsiaTheme="minorHAnsi" w:hAnsi="Arial" w:cs="Arial"/>
          <w:szCs w:val="24"/>
          <w:lang w:val="en" w:eastAsia="en-US"/>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rsidR="00990DEB" w:rsidRPr="00A65BBE" w:rsidRDefault="00990DEB" w:rsidP="00990DEB">
      <w:pPr>
        <w:spacing w:line="276" w:lineRule="auto"/>
        <w:rPr>
          <w:rFonts w:ascii="Arial" w:eastAsiaTheme="minorHAnsi" w:hAnsi="Arial" w:cs="Arial"/>
          <w:szCs w:val="24"/>
          <w:lang w:eastAsia="en-US"/>
        </w:rPr>
      </w:pPr>
    </w:p>
    <w:p w:rsidR="00990DEB" w:rsidRPr="00A65BBE" w:rsidRDefault="00990DEB" w:rsidP="000343B3">
      <w:pPr>
        <w:shd w:val="clear" w:color="auto" w:fill="FFFFFF"/>
        <w:spacing w:before="100" w:beforeAutospacing="1" w:after="180" w:line="276" w:lineRule="auto"/>
        <w:jc w:val="both"/>
        <w:rPr>
          <w:rFonts w:ascii="Arial" w:hAnsi="Arial" w:cs="Arial"/>
          <w:szCs w:val="24"/>
        </w:rPr>
      </w:pPr>
      <w:r w:rsidRPr="00A65BBE">
        <w:rPr>
          <w:rFonts w:ascii="Arial" w:hAnsi="Arial" w:cs="Arial"/>
          <w:szCs w:val="24"/>
        </w:rPr>
        <w:lastRenderedPageBreak/>
        <w:t>High Life Highland’s gender pay gap compares favourably to national statistics</w:t>
      </w:r>
      <w:r>
        <w:rPr>
          <w:rFonts w:ascii="Arial" w:hAnsi="Arial" w:cs="Arial"/>
          <w:szCs w:val="24"/>
        </w:rPr>
        <w:t xml:space="preserve"> but </w:t>
      </w:r>
      <w:r w:rsidRPr="00A65BBE">
        <w:rPr>
          <w:rFonts w:ascii="Arial" w:hAnsi="Arial" w:cs="Arial"/>
          <w:szCs w:val="24"/>
        </w:rPr>
        <w:t>it is committed to monitoring and reducing the gap where</w:t>
      </w:r>
      <w:r>
        <w:rPr>
          <w:rFonts w:ascii="Arial" w:hAnsi="Arial" w:cs="Arial"/>
          <w:szCs w:val="24"/>
        </w:rPr>
        <w:t>ver</w:t>
      </w:r>
      <w:r w:rsidRPr="00A65BBE">
        <w:rPr>
          <w:rFonts w:ascii="Arial" w:hAnsi="Arial" w:cs="Arial"/>
          <w:szCs w:val="24"/>
        </w:rPr>
        <w:t xml:space="preserve"> possible, whilst also recognising that it has no direct control over the gender of applicants for particular job types or an individual’s career choices. </w:t>
      </w:r>
    </w:p>
    <w:p w:rsidR="00990DEB" w:rsidRPr="00A65BBE" w:rsidRDefault="00990DEB" w:rsidP="000343B3">
      <w:pPr>
        <w:shd w:val="clear" w:color="auto" w:fill="FFFFFF"/>
        <w:spacing w:before="100" w:beforeAutospacing="1" w:after="180" w:line="276" w:lineRule="auto"/>
        <w:jc w:val="both"/>
        <w:rPr>
          <w:rFonts w:ascii="Arial" w:hAnsi="Arial" w:cs="Arial"/>
          <w:szCs w:val="24"/>
        </w:rPr>
      </w:pPr>
      <w:r w:rsidRPr="00A65BBE">
        <w:rPr>
          <w:rFonts w:ascii="Arial" w:hAnsi="Arial" w:cs="Arial"/>
          <w:szCs w:val="24"/>
        </w:rPr>
        <w:t>I confirm the data reported is accurate.</w:t>
      </w:r>
    </w:p>
    <w:p w:rsidR="00990DEB" w:rsidRPr="00A65BBE" w:rsidRDefault="00990DEB" w:rsidP="00990DEB">
      <w:pPr>
        <w:shd w:val="clear" w:color="auto" w:fill="FFFFFF"/>
        <w:spacing w:line="276" w:lineRule="auto"/>
        <w:rPr>
          <w:rFonts w:ascii="Arial" w:hAnsi="Arial" w:cs="Arial"/>
          <w:szCs w:val="24"/>
        </w:rPr>
      </w:pPr>
      <w:r w:rsidRPr="00A65BBE">
        <w:rPr>
          <w:rFonts w:ascii="Arial" w:hAnsi="Arial" w:cs="Arial"/>
          <w:szCs w:val="24"/>
        </w:rPr>
        <w:t>Ian Murray</w:t>
      </w:r>
    </w:p>
    <w:p w:rsidR="00990DEB" w:rsidRPr="00A65BBE" w:rsidRDefault="00990DEB" w:rsidP="00990DEB">
      <w:pPr>
        <w:shd w:val="clear" w:color="auto" w:fill="FFFFFF"/>
        <w:spacing w:line="276" w:lineRule="auto"/>
        <w:rPr>
          <w:rFonts w:ascii="Arial" w:hAnsi="Arial" w:cs="Arial"/>
          <w:szCs w:val="24"/>
        </w:rPr>
      </w:pPr>
      <w:r w:rsidRPr="00A65BBE">
        <w:rPr>
          <w:rFonts w:ascii="Arial" w:hAnsi="Arial" w:cs="Arial"/>
          <w:szCs w:val="24"/>
        </w:rPr>
        <w:t>Chief Executive</w:t>
      </w:r>
    </w:p>
    <w:p w:rsidR="00990DEB" w:rsidRPr="00A65BBE" w:rsidRDefault="00990DEB" w:rsidP="00990DEB">
      <w:pPr>
        <w:rPr>
          <w:rFonts w:ascii="Arial" w:hAnsi="Arial" w:cs="Arial"/>
          <w:b/>
          <w:szCs w:val="24"/>
        </w:rPr>
      </w:pPr>
    </w:p>
    <w:p w:rsidR="00DE2090" w:rsidRPr="00990DEB" w:rsidRDefault="00DE2090" w:rsidP="00990DEB"/>
    <w:sectPr w:rsidR="00DE2090" w:rsidRPr="00990DEB" w:rsidSect="00DE2090">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co">
    <w:altName w:val="Foc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593"/>
    <w:multiLevelType w:val="multilevel"/>
    <w:tmpl w:val="D63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C615C"/>
    <w:multiLevelType w:val="hybridMultilevel"/>
    <w:tmpl w:val="C8D0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FB"/>
    <w:rsid w:val="000343B3"/>
    <w:rsid w:val="00081443"/>
    <w:rsid w:val="00220D04"/>
    <w:rsid w:val="00251283"/>
    <w:rsid w:val="003276B4"/>
    <w:rsid w:val="00385F8D"/>
    <w:rsid w:val="003A0509"/>
    <w:rsid w:val="003A4C6B"/>
    <w:rsid w:val="003D3FFC"/>
    <w:rsid w:val="00454783"/>
    <w:rsid w:val="00536B93"/>
    <w:rsid w:val="00617031"/>
    <w:rsid w:val="00851ED8"/>
    <w:rsid w:val="00905C63"/>
    <w:rsid w:val="009234F5"/>
    <w:rsid w:val="00951BE9"/>
    <w:rsid w:val="00990DEB"/>
    <w:rsid w:val="00A92E93"/>
    <w:rsid w:val="00AE00FB"/>
    <w:rsid w:val="00B62AC2"/>
    <w:rsid w:val="00BB042A"/>
    <w:rsid w:val="00BC4B21"/>
    <w:rsid w:val="00C069CA"/>
    <w:rsid w:val="00C26612"/>
    <w:rsid w:val="00C436A0"/>
    <w:rsid w:val="00D67E6F"/>
    <w:rsid w:val="00DE2090"/>
    <w:rsid w:val="00E6699B"/>
    <w:rsid w:val="00E84F55"/>
    <w:rsid w:val="00F8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EB"/>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E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D67E6F"/>
    <w:rPr>
      <w:color w:val="0055B0"/>
      <w:u w:val="single"/>
    </w:rPr>
  </w:style>
  <w:style w:type="paragraph" w:styleId="NormalWeb">
    <w:name w:val="Normal (Web)"/>
    <w:basedOn w:val="Normal"/>
    <w:uiPriority w:val="99"/>
    <w:semiHidden/>
    <w:unhideWhenUsed/>
    <w:rsid w:val="00D67E6F"/>
    <w:pPr>
      <w:spacing w:before="192" w:after="192" w:line="346" w:lineRule="atLeast"/>
    </w:pPr>
    <w:rPr>
      <w:szCs w:val="24"/>
    </w:rPr>
  </w:style>
  <w:style w:type="character" w:styleId="FollowedHyperlink">
    <w:name w:val="FollowedHyperlink"/>
    <w:basedOn w:val="DefaultParagraphFont"/>
    <w:uiPriority w:val="99"/>
    <w:semiHidden/>
    <w:unhideWhenUsed/>
    <w:rsid w:val="003A4C6B"/>
    <w:rPr>
      <w:color w:val="800080" w:themeColor="followedHyperlink"/>
      <w:u w:val="single"/>
    </w:rPr>
  </w:style>
  <w:style w:type="table" w:styleId="TableGrid">
    <w:name w:val="Table Grid"/>
    <w:basedOn w:val="TableNormal"/>
    <w:uiPriority w:val="59"/>
    <w:rsid w:val="00F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6A0"/>
    <w:rPr>
      <w:rFonts w:ascii="Tahoma" w:hAnsi="Tahoma" w:cs="Tahoma"/>
      <w:sz w:val="16"/>
      <w:szCs w:val="16"/>
    </w:rPr>
  </w:style>
  <w:style w:type="character" w:customStyle="1" w:styleId="BalloonTextChar">
    <w:name w:val="Balloon Text Char"/>
    <w:basedOn w:val="DefaultParagraphFont"/>
    <w:link w:val="BalloonText"/>
    <w:uiPriority w:val="99"/>
    <w:semiHidden/>
    <w:rsid w:val="00C436A0"/>
    <w:rPr>
      <w:rFonts w:ascii="Tahoma" w:hAnsi="Tahoma" w:cs="Tahoma"/>
      <w:sz w:val="16"/>
      <w:szCs w:val="16"/>
    </w:rPr>
  </w:style>
  <w:style w:type="character" w:customStyle="1" w:styleId="A6">
    <w:name w:val="A6"/>
    <w:uiPriority w:val="99"/>
    <w:rsid w:val="00220D04"/>
    <w:rPr>
      <w:rFonts w:cs="Foco"/>
      <w:color w:val="000000"/>
      <w:sz w:val="22"/>
      <w:szCs w:val="22"/>
    </w:rPr>
  </w:style>
  <w:style w:type="character" w:styleId="Emphasis">
    <w:name w:val="Emphasis"/>
    <w:basedOn w:val="DefaultParagraphFont"/>
    <w:uiPriority w:val="20"/>
    <w:qFormat/>
    <w:rsid w:val="00851ED8"/>
    <w:rPr>
      <w:i/>
      <w:iCs/>
    </w:rPr>
  </w:style>
  <w:style w:type="paragraph" w:styleId="ListParagraph">
    <w:name w:val="List Paragraph"/>
    <w:basedOn w:val="Normal"/>
    <w:uiPriority w:val="34"/>
    <w:qFormat/>
    <w:rsid w:val="00990DEB"/>
    <w:pPr>
      <w:ind w:left="720"/>
    </w:pPr>
  </w:style>
  <w:style w:type="table" w:customStyle="1" w:styleId="TableGrid1">
    <w:name w:val="Table Grid1"/>
    <w:basedOn w:val="TableNormal"/>
    <w:next w:val="TableGrid"/>
    <w:uiPriority w:val="59"/>
    <w:rsid w:val="0099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EB"/>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E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D67E6F"/>
    <w:rPr>
      <w:color w:val="0055B0"/>
      <w:u w:val="single"/>
    </w:rPr>
  </w:style>
  <w:style w:type="paragraph" w:styleId="NormalWeb">
    <w:name w:val="Normal (Web)"/>
    <w:basedOn w:val="Normal"/>
    <w:uiPriority w:val="99"/>
    <w:semiHidden/>
    <w:unhideWhenUsed/>
    <w:rsid w:val="00D67E6F"/>
    <w:pPr>
      <w:spacing w:before="192" w:after="192" w:line="346" w:lineRule="atLeast"/>
    </w:pPr>
    <w:rPr>
      <w:szCs w:val="24"/>
    </w:rPr>
  </w:style>
  <w:style w:type="character" w:styleId="FollowedHyperlink">
    <w:name w:val="FollowedHyperlink"/>
    <w:basedOn w:val="DefaultParagraphFont"/>
    <w:uiPriority w:val="99"/>
    <w:semiHidden/>
    <w:unhideWhenUsed/>
    <w:rsid w:val="003A4C6B"/>
    <w:rPr>
      <w:color w:val="800080" w:themeColor="followedHyperlink"/>
      <w:u w:val="single"/>
    </w:rPr>
  </w:style>
  <w:style w:type="table" w:styleId="TableGrid">
    <w:name w:val="Table Grid"/>
    <w:basedOn w:val="TableNormal"/>
    <w:uiPriority w:val="59"/>
    <w:rsid w:val="00F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6A0"/>
    <w:rPr>
      <w:rFonts w:ascii="Tahoma" w:hAnsi="Tahoma" w:cs="Tahoma"/>
      <w:sz w:val="16"/>
      <w:szCs w:val="16"/>
    </w:rPr>
  </w:style>
  <w:style w:type="character" w:customStyle="1" w:styleId="BalloonTextChar">
    <w:name w:val="Balloon Text Char"/>
    <w:basedOn w:val="DefaultParagraphFont"/>
    <w:link w:val="BalloonText"/>
    <w:uiPriority w:val="99"/>
    <w:semiHidden/>
    <w:rsid w:val="00C436A0"/>
    <w:rPr>
      <w:rFonts w:ascii="Tahoma" w:hAnsi="Tahoma" w:cs="Tahoma"/>
      <w:sz w:val="16"/>
      <w:szCs w:val="16"/>
    </w:rPr>
  </w:style>
  <w:style w:type="character" w:customStyle="1" w:styleId="A6">
    <w:name w:val="A6"/>
    <w:uiPriority w:val="99"/>
    <w:rsid w:val="00220D04"/>
    <w:rPr>
      <w:rFonts w:cs="Foco"/>
      <w:color w:val="000000"/>
      <w:sz w:val="22"/>
      <w:szCs w:val="22"/>
    </w:rPr>
  </w:style>
  <w:style w:type="character" w:styleId="Emphasis">
    <w:name w:val="Emphasis"/>
    <w:basedOn w:val="DefaultParagraphFont"/>
    <w:uiPriority w:val="20"/>
    <w:qFormat/>
    <w:rsid w:val="00851ED8"/>
    <w:rPr>
      <w:i/>
      <w:iCs/>
    </w:rPr>
  </w:style>
  <w:style w:type="paragraph" w:styleId="ListParagraph">
    <w:name w:val="List Paragraph"/>
    <w:basedOn w:val="Normal"/>
    <w:uiPriority w:val="34"/>
    <w:qFormat/>
    <w:rsid w:val="00990DEB"/>
    <w:pPr>
      <w:ind w:left="720"/>
    </w:pPr>
  </w:style>
  <w:style w:type="table" w:customStyle="1" w:styleId="TableGrid1">
    <w:name w:val="Table Grid1"/>
    <w:basedOn w:val="TableNormal"/>
    <w:next w:val="TableGrid"/>
    <w:uiPriority w:val="59"/>
    <w:rsid w:val="0099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20239">
      <w:bodyDiv w:val="1"/>
      <w:marLeft w:val="0"/>
      <w:marRight w:val="0"/>
      <w:marTop w:val="0"/>
      <w:marBottom w:val="0"/>
      <w:divBdr>
        <w:top w:val="none" w:sz="0" w:space="0" w:color="auto"/>
        <w:left w:val="none" w:sz="0" w:space="0" w:color="auto"/>
        <w:bottom w:val="none" w:sz="0" w:space="0" w:color="auto"/>
        <w:right w:val="none" w:sz="0" w:space="0" w:color="auto"/>
      </w:divBdr>
      <w:divsChild>
        <w:div w:id="1377197414">
          <w:marLeft w:val="0"/>
          <w:marRight w:val="0"/>
          <w:marTop w:val="0"/>
          <w:marBottom w:val="0"/>
          <w:divBdr>
            <w:top w:val="none" w:sz="0" w:space="0" w:color="auto"/>
            <w:left w:val="none" w:sz="0" w:space="0" w:color="auto"/>
            <w:bottom w:val="none" w:sz="0" w:space="0" w:color="auto"/>
            <w:right w:val="none" w:sz="0" w:space="0" w:color="auto"/>
          </w:divBdr>
          <w:divsChild>
            <w:div w:id="1378045586">
              <w:marLeft w:val="0"/>
              <w:marRight w:val="0"/>
              <w:marTop w:val="0"/>
              <w:marBottom w:val="0"/>
              <w:divBdr>
                <w:top w:val="none" w:sz="0" w:space="0" w:color="auto"/>
                <w:left w:val="none" w:sz="0" w:space="0" w:color="auto"/>
                <w:bottom w:val="none" w:sz="0" w:space="0" w:color="auto"/>
                <w:right w:val="none" w:sz="0" w:space="0" w:color="auto"/>
              </w:divBdr>
              <w:divsChild>
                <w:div w:id="554003149">
                  <w:marLeft w:val="0"/>
                  <w:marRight w:val="0"/>
                  <w:marTop w:val="0"/>
                  <w:marBottom w:val="0"/>
                  <w:divBdr>
                    <w:top w:val="none" w:sz="0" w:space="0" w:color="auto"/>
                    <w:left w:val="none" w:sz="0" w:space="0" w:color="auto"/>
                    <w:bottom w:val="none" w:sz="0" w:space="0" w:color="auto"/>
                    <w:right w:val="none" w:sz="0" w:space="0" w:color="auto"/>
                  </w:divBdr>
                  <w:divsChild>
                    <w:div w:id="1345402941">
                      <w:marLeft w:val="0"/>
                      <w:marRight w:val="0"/>
                      <w:marTop w:val="0"/>
                      <w:marBottom w:val="0"/>
                      <w:divBdr>
                        <w:top w:val="none" w:sz="0" w:space="0" w:color="auto"/>
                        <w:left w:val="none" w:sz="0" w:space="0" w:color="auto"/>
                        <w:bottom w:val="none" w:sz="0" w:space="0" w:color="auto"/>
                        <w:right w:val="none" w:sz="0" w:space="0" w:color="auto"/>
                      </w:divBdr>
                      <w:divsChild>
                        <w:div w:id="51660857">
                          <w:marLeft w:val="0"/>
                          <w:marRight w:val="0"/>
                          <w:marTop w:val="0"/>
                          <w:marBottom w:val="0"/>
                          <w:divBdr>
                            <w:top w:val="none" w:sz="0" w:space="0" w:color="auto"/>
                            <w:left w:val="none" w:sz="0" w:space="0" w:color="auto"/>
                            <w:bottom w:val="none" w:sz="0" w:space="0" w:color="auto"/>
                            <w:right w:val="none" w:sz="0" w:space="0" w:color="auto"/>
                          </w:divBdr>
                          <w:divsChild>
                            <w:div w:id="4029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8424">
      <w:bodyDiv w:val="1"/>
      <w:marLeft w:val="0"/>
      <w:marRight w:val="0"/>
      <w:marTop w:val="0"/>
      <w:marBottom w:val="0"/>
      <w:divBdr>
        <w:top w:val="none" w:sz="0" w:space="0" w:color="auto"/>
        <w:left w:val="none" w:sz="0" w:space="0" w:color="auto"/>
        <w:bottom w:val="none" w:sz="0" w:space="0" w:color="auto"/>
        <w:right w:val="none" w:sz="0" w:space="0" w:color="auto"/>
      </w:divBdr>
      <w:divsChild>
        <w:div w:id="753547889">
          <w:marLeft w:val="-2625"/>
          <w:marRight w:val="0"/>
          <w:marTop w:val="0"/>
          <w:marBottom w:val="0"/>
          <w:divBdr>
            <w:top w:val="none" w:sz="0" w:space="0" w:color="auto"/>
            <w:left w:val="none" w:sz="0" w:space="0" w:color="auto"/>
            <w:bottom w:val="none" w:sz="0" w:space="0" w:color="auto"/>
            <w:right w:val="none" w:sz="0" w:space="0" w:color="auto"/>
          </w:divBdr>
          <w:divsChild>
            <w:div w:id="1959218760">
              <w:marLeft w:val="2625"/>
              <w:marRight w:val="0"/>
              <w:marTop w:val="0"/>
              <w:marBottom w:val="0"/>
              <w:divBdr>
                <w:top w:val="none" w:sz="0" w:space="0" w:color="auto"/>
                <w:left w:val="none" w:sz="0" w:space="0" w:color="auto"/>
                <w:bottom w:val="none" w:sz="0" w:space="0" w:color="auto"/>
                <w:right w:val="none" w:sz="0" w:space="0" w:color="auto"/>
              </w:divBdr>
              <w:divsChild>
                <w:div w:id="611204400">
                  <w:marLeft w:val="0"/>
                  <w:marRight w:val="0"/>
                  <w:marTop w:val="0"/>
                  <w:marBottom w:val="0"/>
                  <w:divBdr>
                    <w:top w:val="none" w:sz="0" w:space="0" w:color="auto"/>
                    <w:left w:val="none" w:sz="0" w:space="0" w:color="auto"/>
                    <w:bottom w:val="none" w:sz="0" w:space="0" w:color="auto"/>
                    <w:right w:val="none" w:sz="0" w:space="0" w:color="auto"/>
                  </w:divBdr>
                  <w:divsChild>
                    <w:div w:id="700134962">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Morven MacLeod</dc:creator>
  <cp:lastModifiedBy>Joyce Donaldson</cp:lastModifiedBy>
  <cp:revision>2</cp:revision>
  <dcterms:created xsi:type="dcterms:W3CDTF">2017-10-12T09:16:00Z</dcterms:created>
  <dcterms:modified xsi:type="dcterms:W3CDTF">2017-10-12T09:16:00Z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-1570113181</vt:i4>
  </property>
  <property fmtid="{D5CDD505-2E9C-101B-9397-08002B2CF9AE}" pid="3" name="_NewReviewCycle">
    <vt:lpwstr/>
  </property>
  <property fmtid="{D5CDD505-2E9C-101B-9397-08002B2CF9AE}" pid="4" name="_EmailSubject">
    <vt:lpwstr>Gender Pay Gap</vt:lpwstr>
  </property>
  <property fmtid="{D5CDD505-2E9C-101B-9397-08002B2CF9AE}" pid="5" name="_AuthorEmail">
    <vt:lpwstr>Lorraine.Hourston@highlifehighland.com</vt:lpwstr>
  </property>
  <property fmtid="{D5CDD505-2E9C-101B-9397-08002B2CF9AE}" pid="6" name="_AuthorEmailDisplayName">
    <vt:lpwstr>Lorraine Hendry</vt:lpwstr>
  </property>
  <property fmtid="{D5CDD505-2E9C-101B-9397-08002B2CF9AE}" pid="7" name="_PreviousAdHocReviewCycleID">
    <vt:i4>-1453632676</vt:i4>
  </property>
  <property fmtid="{D5CDD505-2E9C-101B-9397-08002B2CF9AE}" pid="8" name="_ReviewingToolsShownOnce">
    <vt:lpwstr/>
  </property>
</Properties>
</file>