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6629"/>
        <w:gridCol w:w="2835"/>
      </w:tblGrid>
      <w:tr w:rsidR="00B84929" w:rsidRPr="0089449E" w:rsidTr="00DE1E6C">
        <w:trPr>
          <w:cantSplit/>
          <w:trHeight w:val="993"/>
        </w:trPr>
        <w:tc>
          <w:tcPr>
            <w:tcW w:w="6629" w:type="dxa"/>
          </w:tcPr>
          <w:p w:rsidR="00DE1E6C" w:rsidRPr="0089449E" w:rsidRDefault="00B84929" w:rsidP="002B7DC4">
            <w:pPr>
              <w:pStyle w:val="BodyText"/>
              <w:jc w:val="left"/>
              <w:rPr>
                <w:rFonts w:ascii="Arial" w:hAnsi="Arial" w:cs="Arial"/>
                <w:szCs w:val="24"/>
              </w:rPr>
            </w:pPr>
            <w:r w:rsidRPr="0089449E">
              <w:rPr>
                <w:rFonts w:ascii="Arial" w:hAnsi="Arial" w:cs="Arial"/>
                <w:szCs w:val="24"/>
              </w:rPr>
              <w:t xml:space="preserve">HIGH </w:t>
            </w:r>
            <w:smartTag w:uri="urn:schemas-microsoft-com:office:smarttags" w:element="date">
              <w:r w:rsidRPr="0089449E">
                <w:rPr>
                  <w:rFonts w:ascii="Arial" w:hAnsi="Arial" w:cs="Arial"/>
                  <w:szCs w:val="24"/>
                </w:rPr>
                <w:t>LIFE</w:t>
              </w:r>
            </w:smartTag>
            <w:r w:rsidRPr="0089449E">
              <w:rPr>
                <w:rFonts w:ascii="Arial" w:hAnsi="Arial" w:cs="Arial"/>
                <w:szCs w:val="24"/>
              </w:rPr>
              <w:t xml:space="preserve"> HIGHLAND </w:t>
            </w:r>
          </w:p>
          <w:p w:rsidR="002B7DC4" w:rsidRPr="0089449E" w:rsidRDefault="00DE1E6C" w:rsidP="002B7DC4">
            <w:pPr>
              <w:pStyle w:val="BodyText"/>
              <w:jc w:val="left"/>
              <w:rPr>
                <w:rFonts w:ascii="Arial" w:hAnsi="Arial" w:cs="Arial"/>
                <w:szCs w:val="24"/>
              </w:rPr>
            </w:pPr>
            <w:r w:rsidRPr="0089449E">
              <w:rPr>
                <w:rFonts w:ascii="Arial" w:hAnsi="Arial" w:cs="Arial"/>
                <w:szCs w:val="24"/>
              </w:rPr>
              <w:t>REPORT TO BOARD OF DIRECTORS</w:t>
            </w:r>
          </w:p>
          <w:p w:rsidR="002B7DC4" w:rsidRPr="0089449E" w:rsidRDefault="007A4C81" w:rsidP="002B7DC4">
            <w:pPr>
              <w:pStyle w:val="BodyText"/>
              <w:jc w:val="left"/>
              <w:rPr>
                <w:rFonts w:ascii="Arial" w:hAnsi="Arial" w:cs="Arial"/>
                <w:szCs w:val="24"/>
              </w:rPr>
            </w:pPr>
            <w:r>
              <w:rPr>
                <w:rFonts w:ascii="Arial" w:hAnsi="Arial" w:cs="Arial"/>
                <w:szCs w:val="24"/>
              </w:rPr>
              <w:t>20</w:t>
            </w:r>
            <w:r w:rsidR="00050D22">
              <w:rPr>
                <w:rFonts w:ascii="Arial" w:hAnsi="Arial" w:cs="Arial"/>
                <w:szCs w:val="24"/>
              </w:rPr>
              <w:t xml:space="preserve"> </w:t>
            </w:r>
            <w:r w:rsidR="00915C25">
              <w:rPr>
                <w:rFonts w:ascii="Arial" w:hAnsi="Arial" w:cs="Arial"/>
                <w:szCs w:val="24"/>
              </w:rPr>
              <w:t>August</w:t>
            </w:r>
            <w:r w:rsidR="00050D22">
              <w:rPr>
                <w:rFonts w:ascii="Arial" w:hAnsi="Arial" w:cs="Arial"/>
                <w:szCs w:val="24"/>
              </w:rPr>
              <w:t xml:space="preserve"> 2015</w:t>
            </w:r>
          </w:p>
          <w:p w:rsidR="00B84929" w:rsidRPr="0089449E" w:rsidRDefault="00B84929" w:rsidP="002B7DC4">
            <w:pPr>
              <w:pStyle w:val="BodyText"/>
              <w:jc w:val="left"/>
              <w:rPr>
                <w:rFonts w:ascii="Arial" w:hAnsi="Arial" w:cs="Arial"/>
                <w:szCs w:val="24"/>
              </w:rPr>
            </w:pPr>
            <w:r w:rsidRPr="0089449E">
              <w:rPr>
                <w:rFonts w:ascii="Arial" w:hAnsi="Arial" w:cs="Arial"/>
                <w:szCs w:val="24"/>
              </w:rPr>
              <w:fldChar w:fldCharType="begin"/>
            </w:r>
            <w:r w:rsidRPr="0089449E">
              <w:rPr>
                <w:rFonts w:ascii="Arial" w:hAnsi="Arial" w:cs="Arial"/>
                <w:szCs w:val="24"/>
              </w:rPr>
              <w:instrText xml:space="preserve">  </w:instrText>
            </w:r>
            <w:r w:rsidRPr="0089449E">
              <w:rPr>
                <w:rFonts w:ascii="Arial" w:hAnsi="Arial" w:cs="Arial"/>
                <w:szCs w:val="24"/>
              </w:rPr>
              <w:fldChar w:fldCharType="end"/>
            </w:r>
          </w:p>
        </w:tc>
        <w:tc>
          <w:tcPr>
            <w:tcW w:w="2835" w:type="dxa"/>
          </w:tcPr>
          <w:p w:rsidR="00B84929" w:rsidRPr="0089449E" w:rsidRDefault="00B84929" w:rsidP="0074357D">
            <w:pPr>
              <w:rPr>
                <w:rFonts w:ascii="Arial" w:hAnsi="Arial" w:cs="Arial"/>
                <w:szCs w:val="24"/>
              </w:rPr>
            </w:pPr>
            <w:r w:rsidRPr="0089449E">
              <w:rPr>
                <w:rFonts w:ascii="Arial" w:hAnsi="Arial" w:cs="Arial"/>
                <w:szCs w:val="24"/>
              </w:rPr>
              <w:t xml:space="preserve">AGENDA ITEM    REPORT No HLH </w:t>
            </w:r>
            <w:r w:rsidR="0074357D">
              <w:rPr>
                <w:rFonts w:ascii="Arial" w:hAnsi="Arial" w:cs="Arial"/>
                <w:szCs w:val="24"/>
              </w:rPr>
              <w:t xml:space="preserve">  </w:t>
            </w:r>
            <w:r w:rsidRPr="0089449E">
              <w:rPr>
                <w:rFonts w:ascii="Arial" w:hAnsi="Arial" w:cs="Arial"/>
                <w:szCs w:val="24"/>
              </w:rPr>
              <w:t>/1</w:t>
            </w:r>
            <w:r w:rsidR="00A61654">
              <w:rPr>
                <w:rFonts w:ascii="Arial" w:hAnsi="Arial" w:cs="Arial"/>
                <w:szCs w:val="24"/>
              </w:rPr>
              <w:t>5</w:t>
            </w:r>
          </w:p>
        </w:tc>
      </w:tr>
    </w:tbl>
    <w:p w:rsidR="0039450A" w:rsidRPr="0089449E" w:rsidRDefault="00B17E95" w:rsidP="00DE1E6C">
      <w:pPr>
        <w:pStyle w:val="Heading2"/>
        <w:rPr>
          <w:rFonts w:ascii="Arial" w:hAnsi="Arial" w:cs="Arial"/>
          <w:b/>
          <w:szCs w:val="24"/>
          <w:u w:val="none"/>
        </w:rPr>
      </w:pPr>
      <w:r>
        <w:rPr>
          <w:rFonts w:ascii="Arial" w:hAnsi="Arial" w:cs="Arial"/>
          <w:b/>
          <w:caps/>
          <w:szCs w:val="24"/>
          <w:u w:val="none"/>
        </w:rPr>
        <w:t>Torrin OUtdoor Centre</w:t>
      </w:r>
      <w:r w:rsidR="00050D22">
        <w:rPr>
          <w:rFonts w:ascii="Arial" w:hAnsi="Arial" w:cs="Arial"/>
          <w:b/>
          <w:caps/>
          <w:szCs w:val="24"/>
          <w:u w:val="none"/>
        </w:rPr>
        <w:t xml:space="preserve"> </w:t>
      </w:r>
      <w:r w:rsidR="00DE1E6C" w:rsidRPr="0089449E">
        <w:rPr>
          <w:rFonts w:ascii="Arial" w:hAnsi="Arial" w:cs="Arial"/>
          <w:b/>
          <w:szCs w:val="24"/>
          <w:u w:val="none"/>
        </w:rPr>
        <w:t>-</w:t>
      </w:r>
      <w:r w:rsidR="00050D22">
        <w:rPr>
          <w:rFonts w:ascii="Arial" w:hAnsi="Arial" w:cs="Arial"/>
          <w:b/>
          <w:szCs w:val="24"/>
          <w:u w:val="none"/>
        </w:rPr>
        <w:t xml:space="preserve"> </w:t>
      </w:r>
      <w:r w:rsidR="0039450A" w:rsidRPr="0089449E">
        <w:rPr>
          <w:rFonts w:ascii="Arial" w:hAnsi="Arial" w:cs="Arial"/>
          <w:b/>
          <w:szCs w:val="24"/>
          <w:u w:val="none"/>
        </w:rPr>
        <w:t xml:space="preserve">Report </w:t>
      </w:r>
      <w:r w:rsidR="00A8159A" w:rsidRPr="0089449E">
        <w:rPr>
          <w:rFonts w:ascii="Arial" w:hAnsi="Arial" w:cs="Arial"/>
          <w:b/>
          <w:szCs w:val="24"/>
          <w:u w:val="none"/>
        </w:rPr>
        <w:t>by</w:t>
      </w:r>
      <w:r w:rsidR="002B7DC4" w:rsidRPr="0089449E">
        <w:rPr>
          <w:rFonts w:ascii="Arial" w:hAnsi="Arial" w:cs="Arial"/>
          <w:b/>
          <w:szCs w:val="24"/>
          <w:u w:val="none"/>
        </w:rPr>
        <w:t xml:space="preserve"> Chief Executive</w:t>
      </w:r>
    </w:p>
    <w:p w:rsidR="0039450A" w:rsidRPr="0089449E" w:rsidRDefault="0039450A" w:rsidP="00416BFF">
      <w:pPr>
        <w:jc w:val="both"/>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89449E">
        <w:trPr>
          <w:cantSplit/>
        </w:trPr>
        <w:tc>
          <w:tcPr>
            <w:tcW w:w="9464" w:type="dxa"/>
          </w:tcPr>
          <w:p w:rsidR="0039450A" w:rsidRPr="0089449E" w:rsidRDefault="002B7DC4" w:rsidP="00416BFF">
            <w:pPr>
              <w:pStyle w:val="Heading2"/>
              <w:rPr>
                <w:rFonts w:ascii="Arial" w:hAnsi="Arial" w:cs="Arial"/>
                <w:b/>
                <w:szCs w:val="24"/>
                <w:u w:val="none"/>
              </w:rPr>
            </w:pPr>
            <w:r w:rsidRPr="0089449E">
              <w:rPr>
                <w:rFonts w:ascii="Arial" w:hAnsi="Arial" w:cs="Arial"/>
                <w:b/>
                <w:szCs w:val="24"/>
                <w:u w:val="none"/>
              </w:rPr>
              <w:t>Summary</w:t>
            </w:r>
          </w:p>
          <w:p w:rsidR="002B7DC4" w:rsidRPr="0089449E" w:rsidRDefault="002B7DC4" w:rsidP="002B7DC4">
            <w:pPr>
              <w:rPr>
                <w:rFonts w:ascii="Arial" w:hAnsi="Arial" w:cs="Arial"/>
              </w:rPr>
            </w:pPr>
          </w:p>
          <w:p w:rsidR="00B17E95" w:rsidRPr="007C1889" w:rsidRDefault="00050D22" w:rsidP="00D013D5">
            <w:pPr>
              <w:jc w:val="both"/>
              <w:rPr>
                <w:rFonts w:ascii="Arial" w:hAnsi="Arial" w:cs="Arial"/>
                <w:szCs w:val="24"/>
              </w:rPr>
            </w:pPr>
            <w:r w:rsidRPr="007C1889">
              <w:rPr>
                <w:rFonts w:ascii="Arial" w:hAnsi="Arial" w:cs="Arial"/>
                <w:szCs w:val="24"/>
              </w:rPr>
              <w:t xml:space="preserve">The purpose of this report is to </w:t>
            </w:r>
            <w:r w:rsidR="00264850" w:rsidRPr="007C1889">
              <w:rPr>
                <w:rFonts w:ascii="Arial" w:hAnsi="Arial" w:cs="Arial"/>
                <w:szCs w:val="24"/>
              </w:rPr>
              <w:t xml:space="preserve">provide Directors with information on the funding required to make improvements to Torrin Outdoor Centre, Skye. </w:t>
            </w:r>
          </w:p>
          <w:p w:rsidR="00264850" w:rsidRPr="007C1889" w:rsidRDefault="00264850" w:rsidP="00D013D5">
            <w:pPr>
              <w:jc w:val="both"/>
              <w:rPr>
                <w:rFonts w:ascii="Arial" w:hAnsi="Arial" w:cs="Arial"/>
                <w:szCs w:val="24"/>
              </w:rPr>
            </w:pPr>
          </w:p>
          <w:p w:rsidR="00917608" w:rsidRDefault="00264850" w:rsidP="00D013D5">
            <w:pPr>
              <w:jc w:val="both"/>
              <w:rPr>
                <w:rFonts w:ascii="Arial" w:hAnsi="Arial" w:cs="Arial"/>
                <w:szCs w:val="24"/>
              </w:rPr>
            </w:pPr>
            <w:r w:rsidRPr="007C1889">
              <w:rPr>
                <w:rFonts w:ascii="Arial" w:hAnsi="Arial" w:cs="Arial"/>
                <w:szCs w:val="24"/>
              </w:rPr>
              <w:t>I</w:t>
            </w:r>
            <w:r w:rsidR="006702D2">
              <w:rPr>
                <w:rFonts w:ascii="Arial" w:hAnsi="Arial" w:cs="Arial"/>
                <w:szCs w:val="24"/>
              </w:rPr>
              <w:t>t is recommended that Directors:-</w:t>
            </w:r>
          </w:p>
          <w:p w:rsidR="006702D2" w:rsidRPr="007C1889" w:rsidRDefault="006702D2" w:rsidP="00D013D5">
            <w:pPr>
              <w:jc w:val="both"/>
              <w:rPr>
                <w:rFonts w:ascii="Arial" w:hAnsi="Arial" w:cs="Arial"/>
                <w:szCs w:val="24"/>
              </w:rPr>
            </w:pPr>
          </w:p>
          <w:p w:rsidR="00350C19" w:rsidRPr="007C1889" w:rsidRDefault="00575C67" w:rsidP="00D013D5">
            <w:pPr>
              <w:pStyle w:val="ListParagraph"/>
              <w:numPr>
                <w:ilvl w:val="0"/>
                <w:numId w:val="18"/>
              </w:numPr>
              <w:spacing w:after="0"/>
              <w:jc w:val="both"/>
              <w:rPr>
                <w:rFonts w:ascii="Arial" w:hAnsi="Arial" w:cs="Arial"/>
                <w:sz w:val="24"/>
                <w:szCs w:val="24"/>
              </w:rPr>
            </w:pPr>
            <w:r w:rsidRPr="007C1889">
              <w:rPr>
                <w:rFonts w:ascii="Arial" w:hAnsi="Arial" w:cs="Arial"/>
                <w:sz w:val="24"/>
                <w:szCs w:val="24"/>
              </w:rPr>
              <w:t>n</w:t>
            </w:r>
            <w:r w:rsidR="00917608" w:rsidRPr="007C1889">
              <w:rPr>
                <w:rFonts w:ascii="Arial" w:hAnsi="Arial" w:cs="Arial"/>
                <w:sz w:val="24"/>
                <w:szCs w:val="24"/>
              </w:rPr>
              <w:t xml:space="preserve">ote that the request to add Torrin Outdoor Centre to the  Planned and Cyclical Maintenance Budget has been submitted to THC; </w:t>
            </w:r>
          </w:p>
          <w:p w:rsidR="00917608" w:rsidRPr="007C1889" w:rsidRDefault="00575C67" w:rsidP="00D013D5">
            <w:pPr>
              <w:pStyle w:val="ListParagraph"/>
              <w:numPr>
                <w:ilvl w:val="0"/>
                <w:numId w:val="18"/>
              </w:numPr>
              <w:spacing w:after="0"/>
              <w:jc w:val="both"/>
              <w:rPr>
                <w:rFonts w:ascii="Arial" w:hAnsi="Arial" w:cs="Arial"/>
                <w:sz w:val="24"/>
                <w:szCs w:val="24"/>
              </w:rPr>
            </w:pPr>
            <w:r w:rsidRPr="007C1889">
              <w:rPr>
                <w:rFonts w:ascii="Arial" w:hAnsi="Arial" w:cs="Arial"/>
                <w:sz w:val="24"/>
                <w:szCs w:val="24"/>
              </w:rPr>
              <w:t>n</w:t>
            </w:r>
            <w:r w:rsidR="00917608" w:rsidRPr="007C1889">
              <w:rPr>
                <w:rFonts w:ascii="Arial" w:hAnsi="Arial" w:cs="Arial"/>
                <w:sz w:val="24"/>
                <w:szCs w:val="24"/>
              </w:rPr>
              <w:t>ote that cost of bringing the facility to a fully restored state has been estimated at £450K;</w:t>
            </w:r>
          </w:p>
          <w:p w:rsidR="00917608" w:rsidRPr="007C1889" w:rsidRDefault="00575C67" w:rsidP="00D013D5">
            <w:pPr>
              <w:pStyle w:val="ListParagraph"/>
              <w:numPr>
                <w:ilvl w:val="0"/>
                <w:numId w:val="18"/>
              </w:numPr>
              <w:spacing w:after="0"/>
              <w:jc w:val="both"/>
              <w:rPr>
                <w:rFonts w:ascii="Arial" w:hAnsi="Arial" w:cs="Arial"/>
                <w:sz w:val="24"/>
                <w:szCs w:val="24"/>
              </w:rPr>
            </w:pPr>
            <w:r w:rsidRPr="007C1889">
              <w:rPr>
                <w:rFonts w:ascii="Arial" w:hAnsi="Arial" w:cs="Arial"/>
                <w:sz w:val="24"/>
                <w:szCs w:val="24"/>
              </w:rPr>
              <w:t>n</w:t>
            </w:r>
            <w:r w:rsidR="00917608" w:rsidRPr="007C1889">
              <w:rPr>
                <w:rFonts w:ascii="Arial" w:hAnsi="Arial" w:cs="Arial"/>
                <w:sz w:val="24"/>
                <w:szCs w:val="24"/>
              </w:rPr>
              <w:t xml:space="preserve">ote the previous decision of incremental growth of outdoor activity provision without significant investment; </w:t>
            </w:r>
          </w:p>
          <w:p w:rsidR="00947B69" w:rsidRPr="00947B69" w:rsidRDefault="00575C67" w:rsidP="00D013D5">
            <w:pPr>
              <w:pStyle w:val="ListParagraph"/>
              <w:numPr>
                <w:ilvl w:val="0"/>
                <w:numId w:val="18"/>
              </w:numPr>
              <w:spacing w:after="0"/>
              <w:jc w:val="both"/>
              <w:rPr>
                <w:rFonts w:ascii="Arial" w:hAnsi="Arial" w:cs="Arial"/>
                <w:szCs w:val="24"/>
              </w:rPr>
            </w:pPr>
            <w:r w:rsidRPr="007C1889">
              <w:rPr>
                <w:rFonts w:ascii="Arial" w:hAnsi="Arial" w:cs="Arial"/>
                <w:sz w:val="24"/>
                <w:szCs w:val="24"/>
              </w:rPr>
              <w:t>n</w:t>
            </w:r>
            <w:r w:rsidR="00917608" w:rsidRPr="007C1889">
              <w:rPr>
                <w:rFonts w:ascii="Arial" w:hAnsi="Arial" w:cs="Arial"/>
                <w:sz w:val="24"/>
                <w:szCs w:val="24"/>
              </w:rPr>
              <w:t xml:space="preserve">ote that a change to the decision in (iii) above </w:t>
            </w:r>
            <w:r w:rsidR="00F40484">
              <w:rPr>
                <w:rFonts w:ascii="Arial" w:hAnsi="Arial" w:cs="Arial"/>
                <w:sz w:val="24"/>
                <w:szCs w:val="24"/>
              </w:rPr>
              <w:t>would</w:t>
            </w:r>
            <w:r w:rsidR="00917608" w:rsidRPr="007C1889">
              <w:rPr>
                <w:rFonts w:ascii="Arial" w:hAnsi="Arial" w:cs="Arial"/>
                <w:sz w:val="24"/>
                <w:szCs w:val="24"/>
              </w:rPr>
              <w:t xml:space="preserve"> result i</w:t>
            </w:r>
            <w:r w:rsidRPr="007C1889">
              <w:rPr>
                <w:rFonts w:ascii="Arial" w:hAnsi="Arial" w:cs="Arial"/>
                <w:sz w:val="24"/>
                <w:szCs w:val="24"/>
              </w:rPr>
              <w:t>n a need to adjust the capital priorities agreed at the June HLH Board meeting</w:t>
            </w:r>
            <w:r w:rsidR="00947B69">
              <w:rPr>
                <w:rFonts w:ascii="Arial" w:hAnsi="Arial" w:cs="Arial"/>
                <w:sz w:val="24"/>
                <w:szCs w:val="24"/>
              </w:rPr>
              <w:t>; and</w:t>
            </w:r>
          </w:p>
          <w:p w:rsidR="006702D2" w:rsidRPr="006702D2" w:rsidRDefault="00947B69" w:rsidP="00D013D5">
            <w:pPr>
              <w:pStyle w:val="ListParagraph"/>
              <w:numPr>
                <w:ilvl w:val="0"/>
                <w:numId w:val="18"/>
              </w:numPr>
              <w:spacing w:after="0"/>
              <w:jc w:val="both"/>
              <w:rPr>
                <w:rFonts w:ascii="Arial" w:hAnsi="Arial" w:cs="Arial"/>
                <w:szCs w:val="24"/>
              </w:rPr>
            </w:pPr>
            <w:proofErr w:type="gramStart"/>
            <w:r>
              <w:rPr>
                <w:rFonts w:ascii="Arial" w:hAnsi="Arial" w:cs="Arial"/>
                <w:sz w:val="24"/>
                <w:szCs w:val="24"/>
              </w:rPr>
              <w:t>agree</w:t>
            </w:r>
            <w:proofErr w:type="gramEnd"/>
            <w:r>
              <w:rPr>
                <w:rFonts w:ascii="Arial" w:hAnsi="Arial" w:cs="Arial"/>
                <w:sz w:val="24"/>
                <w:szCs w:val="24"/>
              </w:rPr>
              <w:t xml:space="preserve"> to continue with the previously agreed course of action with regard to outdoor activities provision at Torrin Outdoor Centre of </w:t>
            </w:r>
            <w:r w:rsidRPr="007C1889">
              <w:rPr>
                <w:rFonts w:ascii="Arial" w:hAnsi="Arial" w:cs="Arial"/>
                <w:sz w:val="24"/>
                <w:szCs w:val="24"/>
              </w:rPr>
              <w:t>incremental growth without significant investment</w:t>
            </w:r>
            <w:r>
              <w:rPr>
                <w:rFonts w:ascii="Arial" w:hAnsi="Arial" w:cs="Arial"/>
                <w:sz w:val="24"/>
                <w:szCs w:val="24"/>
              </w:rPr>
              <w:t>.</w:t>
            </w:r>
          </w:p>
          <w:p w:rsidR="0039450A" w:rsidRPr="00575C67" w:rsidRDefault="0039450A" w:rsidP="006702D2">
            <w:pPr>
              <w:pStyle w:val="ListParagraph"/>
              <w:spacing w:after="0"/>
              <w:jc w:val="both"/>
              <w:rPr>
                <w:rFonts w:ascii="Arial" w:hAnsi="Arial" w:cs="Arial"/>
                <w:szCs w:val="24"/>
              </w:rPr>
            </w:pPr>
            <w:r w:rsidRPr="00575C67">
              <w:rPr>
                <w:rFonts w:ascii="Arial" w:hAnsi="Arial" w:cs="Arial"/>
                <w:szCs w:val="24"/>
              </w:rPr>
              <w:fldChar w:fldCharType="begin"/>
            </w:r>
            <w:r w:rsidRPr="00575C67">
              <w:rPr>
                <w:rFonts w:ascii="Arial" w:hAnsi="Arial" w:cs="Arial"/>
                <w:szCs w:val="24"/>
              </w:rPr>
              <w:instrText xml:space="preserve">  </w:instrText>
            </w:r>
            <w:r w:rsidRPr="00575C67">
              <w:rPr>
                <w:rFonts w:ascii="Arial" w:hAnsi="Arial" w:cs="Arial"/>
                <w:szCs w:val="24"/>
              </w:rPr>
              <w:fldChar w:fldCharType="end"/>
            </w:r>
          </w:p>
        </w:tc>
      </w:tr>
    </w:tbl>
    <w:p w:rsidR="0097099E" w:rsidRPr="0089449E" w:rsidRDefault="0097099E" w:rsidP="00416BFF">
      <w:pPr>
        <w:jc w:val="both"/>
        <w:rPr>
          <w:rFonts w:ascii="Arial" w:hAnsi="Arial" w:cs="Arial"/>
          <w:szCs w:val="24"/>
        </w:rPr>
      </w:pPr>
    </w:p>
    <w:tbl>
      <w:tblPr>
        <w:tblW w:w="9464" w:type="dxa"/>
        <w:tblLayout w:type="fixed"/>
        <w:tblLook w:val="0000" w:firstRow="0" w:lastRow="0" w:firstColumn="0" w:lastColumn="0" w:noHBand="0" w:noVBand="0"/>
      </w:tblPr>
      <w:tblGrid>
        <w:gridCol w:w="817"/>
        <w:gridCol w:w="8647"/>
      </w:tblGrid>
      <w:tr w:rsidR="00A53534" w:rsidRPr="0089449E">
        <w:tc>
          <w:tcPr>
            <w:tcW w:w="817" w:type="dxa"/>
          </w:tcPr>
          <w:p w:rsidR="00A53534" w:rsidRPr="0089449E" w:rsidRDefault="008B4D54" w:rsidP="006D4204">
            <w:pPr>
              <w:rPr>
                <w:rFonts w:ascii="Arial" w:hAnsi="Arial" w:cs="Arial"/>
                <w:b/>
                <w:szCs w:val="24"/>
              </w:rPr>
            </w:pPr>
            <w:r>
              <w:rPr>
                <w:rFonts w:ascii="Arial" w:hAnsi="Arial" w:cs="Arial"/>
                <w:b/>
                <w:szCs w:val="24"/>
              </w:rPr>
              <w:t>1</w:t>
            </w:r>
            <w:r w:rsidR="00A53534" w:rsidRPr="0089449E">
              <w:rPr>
                <w:rFonts w:ascii="Arial" w:hAnsi="Arial" w:cs="Arial"/>
                <w:b/>
                <w:szCs w:val="24"/>
              </w:rPr>
              <w:t>.</w:t>
            </w:r>
          </w:p>
        </w:tc>
        <w:tc>
          <w:tcPr>
            <w:tcW w:w="8647" w:type="dxa"/>
          </w:tcPr>
          <w:p w:rsidR="00A53534" w:rsidRPr="0089449E" w:rsidRDefault="00A53534" w:rsidP="006D4204">
            <w:pPr>
              <w:rPr>
                <w:rFonts w:ascii="Arial" w:hAnsi="Arial" w:cs="Arial"/>
                <w:b/>
              </w:rPr>
            </w:pPr>
            <w:r w:rsidRPr="0089449E">
              <w:rPr>
                <w:rFonts w:ascii="Arial" w:hAnsi="Arial" w:cs="Arial"/>
                <w:b/>
              </w:rPr>
              <w:t>Business Plan Contribution</w:t>
            </w:r>
          </w:p>
          <w:p w:rsidR="00A53534" w:rsidRPr="0089449E" w:rsidRDefault="00A53534" w:rsidP="006D4204">
            <w:pPr>
              <w:rPr>
                <w:rFonts w:ascii="Arial" w:hAnsi="Arial" w:cs="Arial"/>
                <w:szCs w:val="24"/>
              </w:rPr>
            </w:pPr>
          </w:p>
        </w:tc>
      </w:tr>
      <w:tr w:rsidR="00A53534" w:rsidRPr="0089449E">
        <w:tc>
          <w:tcPr>
            <w:tcW w:w="817" w:type="dxa"/>
          </w:tcPr>
          <w:p w:rsidR="00A53534" w:rsidRPr="007161EF" w:rsidRDefault="008B4D54" w:rsidP="006D4204">
            <w:pPr>
              <w:rPr>
                <w:rFonts w:ascii="Arial" w:hAnsi="Arial" w:cs="Arial"/>
                <w:szCs w:val="24"/>
              </w:rPr>
            </w:pPr>
            <w:r>
              <w:rPr>
                <w:rFonts w:ascii="Arial" w:hAnsi="Arial" w:cs="Arial"/>
                <w:szCs w:val="24"/>
              </w:rPr>
              <w:t>1</w:t>
            </w:r>
            <w:r w:rsidR="00A53534" w:rsidRPr="007161EF">
              <w:rPr>
                <w:rFonts w:ascii="Arial" w:hAnsi="Arial" w:cs="Arial"/>
                <w:szCs w:val="24"/>
              </w:rPr>
              <w:t>.1</w:t>
            </w:r>
          </w:p>
        </w:tc>
        <w:tc>
          <w:tcPr>
            <w:tcW w:w="8647" w:type="dxa"/>
          </w:tcPr>
          <w:p w:rsidR="00B26FE3" w:rsidRDefault="00B26FE3" w:rsidP="00D013D5">
            <w:pPr>
              <w:jc w:val="both"/>
              <w:rPr>
                <w:rFonts w:ascii="Arial" w:hAnsi="Arial" w:cs="Arial"/>
              </w:rPr>
            </w:pPr>
            <w:r>
              <w:rPr>
                <w:rFonts w:ascii="Arial" w:hAnsi="Arial" w:cs="Arial"/>
              </w:rPr>
              <w:t xml:space="preserve">This report supports the </w:t>
            </w:r>
            <w:r w:rsidR="004973CD">
              <w:rPr>
                <w:rFonts w:ascii="Arial" w:hAnsi="Arial" w:cs="Arial"/>
              </w:rPr>
              <w:t xml:space="preserve">highlighted </w:t>
            </w:r>
            <w:r>
              <w:rPr>
                <w:rFonts w:ascii="Arial" w:hAnsi="Arial" w:cs="Arial"/>
              </w:rPr>
              <w:t>Business Outcomes from the High Life Highland (HLH) Business Plan:</w:t>
            </w:r>
          </w:p>
          <w:p w:rsidR="00B26FE3" w:rsidRDefault="00B26FE3" w:rsidP="00D013D5">
            <w:pPr>
              <w:jc w:val="both"/>
              <w:rPr>
                <w:rFonts w:ascii="Arial" w:hAnsi="Arial" w:cs="Arial"/>
              </w:rPr>
            </w:pPr>
          </w:p>
          <w:p w:rsidR="008B4D54" w:rsidRPr="003A3BC3" w:rsidRDefault="002A11C0" w:rsidP="00D013D5">
            <w:pPr>
              <w:pStyle w:val="ListParagraph"/>
              <w:numPr>
                <w:ilvl w:val="0"/>
                <w:numId w:val="1"/>
              </w:numPr>
              <w:spacing w:after="0" w:line="240" w:lineRule="auto"/>
              <w:jc w:val="both"/>
              <w:rPr>
                <w:rFonts w:ascii="Arial" w:hAnsi="Arial" w:cs="Arial"/>
                <w:sz w:val="24"/>
                <w:szCs w:val="24"/>
              </w:rPr>
            </w:pPr>
            <w:r w:rsidRPr="003A3BC3">
              <w:rPr>
                <w:rFonts w:ascii="Arial" w:hAnsi="Arial" w:cs="Arial"/>
                <w:sz w:val="24"/>
                <w:szCs w:val="24"/>
              </w:rPr>
              <w:t>To advance sustainable growth and financial sustainability</w:t>
            </w:r>
          </w:p>
          <w:p w:rsidR="002A11C0" w:rsidRPr="00050D22" w:rsidRDefault="002A11C0" w:rsidP="00D013D5">
            <w:pPr>
              <w:pStyle w:val="ListParagraph"/>
              <w:numPr>
                <w:ilvl w:val="0"/>
                <w:numId w:val="1"/>
              </w:numPr>
              <w:spacing w:after="0" w:line="240" w:lineRule="auto"/>
              <w:jc w:val="both"/>
              <w:rPr>
                <w:rFonts w:ascii="Arial" w:hAnsi="Arial" w:cs="Arial"/>
                <w:b/>
                <w:sz w:val="24"/>
                <w:szCs w:val="24"/>
              </w:rPr>
            </w:pPr>
            <w:r w:rsidRPr="00050D22">
              <w:rPr>
                <w:rFonts w:ascii="Arial" w:hAnsi="Arial" w:cs="Arial"/>
                <w:b/>
                <w:sz w:val="24"/>
                <w:szCs w:val="24"/>
              </w:rPr>
              <w:t>Deliver the Service Delivery Contract with THC</w:t>
            </w:r>
          </w:p>
          <w:p w:rsidR="002A11C0" w:rsidRPr="003A3BC3" w:rsidRDefault="002A11C0" w:rsidP="00D013D5">
            <w:pPr>
              <w:pStyle w:val="ListParagraph"/>
              <w:numPr>
                <w:ilvl w:val="0"/>
                <w:numId w:val="1"/>
              </w:numPr>
              <w:spacing w:after="0" w:line="240" w:lineRule="auto"/>
              <w:jc w:val="both"/>
              <w:rPr>
                <w:rFonts w:ascii="Arial" w:hAnsi="Arial" w:cs="Arial"/>
                <w:sz w:val="24"/>
                <w:szCs w:val="24"/>
              </w:rPr>
            </w:pPr>
            <w:r w:rsidRPr="003A3BC3">
              <w:rPr>
                <w:rFonts w:ascii="Arial" w:hAnsi="Arial" w:cs="Arial"/>
                <w:sz w:val="24"/>
                <w:szCs w:val="24"/>
              </w:rPr>
              <w:t>Improving staff satisfaction</w:t>
            </w:r>
          </w:p>
          <w:p w:rsidR="002A11C0" w:rsidRPr="00050D22" w:rsidRDefault="002A11C0" w:rsidP="00D013D5">
            <w:pPr>
              <w:pStyle w:val="ListParagraph"/>
              <w:numPr>
                <w:ilvl w:val="0"/>
                <w:numId w:val="1"/>
              </w:numPr>
              <w:spacing w:after="0" w:line="240" w:lineRule="auto"/>
              <w:jc w:val="both"/>
              <w:rPr>
                <w:rFonts w:ascii="Arial" w:hAnsi="Arial" w:cs="Arial"/>
                <w:b/>
                <w:sz w:val="24"/>
                <w:szCs w:val="24"/>
              </w:rPr>
            </w:pPr>
            <w:r w:rsidRPr="00050D22">
              <w:rPr>
                <w:rFonts w:ascii="Arial" w:hAnsi="Arial" w:cs="Arial"/>
                <w:b/>
                <w:sz w:val="24"/>
                <w:szCs w:val="24"/>
              </w:rPr>
              <w:t>Improving customer satisfaction</w:t>
            </w:r>
          </w:p>
          <w:p w:rsidR="002A11C0" w:rsidRPr="00FF59DD" w:rsidRDefault="002A11C0" w:rsidP="00D013D5">
            <w:pPr>
              <w:pStyle w:val="ListParagraph"/>
              <w:numPr>
                <w:ilvl w:val="0"/>
                <w:numId w:val="1"/>
              </w:numPr>
              <w:spacing w:after="0" w:line="240" w:lineRule="auto"/>
              <w:jc w:val="both"/>
              <w:rPr>
                <w:rFonts w:ascii="Arial" w:hAnsi="Arial" w:cs="Arial"/>
                <w:sz w:val="24"/>
                <w:szCs w:val="24"/>
              </w:rPr>
            </w:pPr>
            <w:r w:rsidRPr="00FF59DD">
              <w:rPr>
                <w:rFonts w:ascii="Arial" w:hAnsi="Arial" w:cs="Arial"/>
                <w:sz w:val="24"/>
                <w:szCs w:val="24"/>
              </w:rPr>
              <w:t>A positive company image</w:t>
            </w:r>
          </w:p>
          <w:p w:rsidR="002A11C0" w:rsidRPr="001216C7" w:rsidRDefault="002A11C0" w:rsidP="00D013D5">
            <w:pPr>
              <w:pStyle w:val="ListParagraph"/>
              <w:numPr>
                <w:ilvl w:val="0"/>
                <w:numId w:val="1"/>
              </w:numPr>
              <w:spacing w:after="0" w:line="240" w:lineRule="auto"/>
              <w:jc w:val="both"/>
              <w:rPr>
                <w:rFonts w:ascii="Arial" w:hAnsi="Arial" w:cs="Arial"/>
                <w:sz w:val="24"/>
                <w:szCs w:val="24"/>
              </w:rPr>
            </w:pPr>
            <w:r w:rsidRPr="001216C7">
              <w:rPr>
                <w:rFonts w:ascii="Arial" w:hAnsi="Arial" w:cs="Arial"/>
                <w:sz w:val="24"/>
                <w:szCs w:val="24"/>
              </w:rPr>
              <w:t>Services designed around customers and through market opportunities</w:t>
            </w:r>
          </w:p>
          <w:p w:rsidR="002A11C0" w:rsidRPr="003A3BC3" w:rsidRDefault="002A11C0" w:rsidP="00D013D5">
            <w:pPr>
              <w:pStyle w:val="ListParagraph"/>
              <w:numPr>
                <w:ilvl w:val="0"/>
                <w:numId w:val="1"/>
              </w:numPr>
              <w:spacing w:after="0" w:line="240" w:lineRule="auto"/>
              <w:jc w:val="both"/>
              <w:rPr>
                <w:rFonts w:ascii="Arial" w:hAnsi="Arial" w:cs="Arial"/>
                <w:sz w:val="24"/>
                <w:szCs w:val="24"/>
              </w:rPr>
            </w:pPr>
            <w:r w:rsidRPr="003A3BC3">
              <w:rPr>
                <w:rFonts w:ascii="Arial" w:hAnsi="Arial" w:cs="Arial"/>
                <w:sz w:val="24"/>
                <w:szCs w:val="24"/>
              </w:rPr>
              <w:t>Sustain a good health and safety performance</w:t>
            </w:r>
          </w:p>
          <w:p w:rsidR="002A11C0" w:rsidRPr="003A3BC3" w:rsidRDefault="002A11C0" w:rsidP="00D013D5">
            <w:pPr>
              <w:pStyle w:val="ListParagraph"/>
              <w:numPr>
                <w:ilvl w:val="0"/>
                <w:numId w:val="1"/>
              </w:numPr>
              <w:spacing w:after="0" w:line="240" w:lineRule="auto"/>
              <w:jc w:val="both"/>
              <w:rPr>
                <w:rFonts w:ascii="Arial" w:hAnsi="Arial" w:cs="Arial"/>
                <w:sz w:val="24"/>
                <w:szCs w:val="24"/>
              </w:rPr>
            </w:pPr>
            <w:r w:rsidRPr="003A3BC3">
              <w:rPr>
                <w:rFonts w:ascii="Arial" w:hAnsi="Arial" w:cs="Arial"/>
                <w:sz w:val="24"/>
                <w:szCs w:val="24"/>
              </w:rPr>
              <w:t>A trusted partner</w:t>
            </w:r>
          </w:p>
          <w:p w:rsidR="002A11C0" w:rsidRPr="0089449E" w:rsidRDefault="002A11C0" w:rsidP="002A11C0">
            <w:pPr>
              <w:pStyle w:val="ListParagraph"/>
              <w:spacing w:after="0" w:line="240" w:lineRule="auto"/>
              <w:ind w:left="819"/>
              <w:jc w:val="both"/>
              <w:rPr>
                <w:rFonts w:ascii="Arial" w:hAnsi="Arial" w:cs="Arial"/>
                <w:b/>
              </w:rPr>
            </w:pPr>
          </w:p>
        </w:tc>
      </w:tr>
      <w:tr w:rsidR="00A53534" w:rsidRPr="0089449E">
        <w:tc>
          <w:tcPr>
            <w:tcW w:w="817" w:type="dxa"/>
          </w:tcPr>
          <w:p w:rsidR="00A53534" w:rsidRPr="0089449E" w:rsidRDefault="008B4D54" w:rsidP="00416BFF">
            <w:pPr>
              <w:rPr>
                <w:rFonts w:ascii="Arial" w:hAnsi="Arial" w:cs="Arial"/>
                <w:b/>
                <w:szCs w:val="24"/>
              </w:rPr>
            </w:pPr>
            <w:r>
              <w:rPr>
                <w:rFonts w:ascii="Arial" w:hAnsi="Arial" w:cs="Arial"/>
                <w:b/>
                <w:szCs w:val="24"/>
              </w:rPr>
              <w:t>2.</w:t>
            </w:r>
          </w:p>
        </w:tc>
        <w:tc>
          <w:tcPr>
            <w:tcW w:w="8647" w:type="dxa"/>
          </w:tcPr>
          <w:p w:rsidR="008B4D54" w:rsidRPr="0097099E" w:rsidRDefault="008B4D54" w:rsidP="008B4D54">
            <w:pPr>
              <w:jc w:val="both"/>
              <w:rPr>
                <w:rFonts w:ascii="Arial" w:hAnsi="Arial" w:cs="Arial"/>
                <w:b/>
                <w:szCs w:val="24"/>
              </w:rPr>
            </w:pPr>
            <w:r w:rsidRPr="0097099E">
              <w:rPr>
                <w:rFonts w:ascii="Arial" w:hAnsi="Arial" w:cs="Arial"/>
                <w:b/>
                <w:szCs w:val="24"/>
              </w:rPr>
              <w:t>Background</w:t>
            </w:r>
          </w:p>
          <w:p w:rsidR="00A53534" w:rsidRPr="0089449E" w:rsidRDefault="00A53534" w:rsidP="00416BFF">
            <w:pPr>
              <w:rPr>
                <w:rFonts w:ascii="Arial" w:hAnsi="Arial" w:cs="Arial"/>
                <w:szCs w:val="24"/>
              </w:rPr>
            </w:pPr>
          </w:p>
        </w:tc>
      </w:tr>
      <w:tr w:rsidR="000F7A1B" w:rsidRPr="001216C7" w:rsidTr="00B20BA9">
        <w:tc>
          <w:tcPr>
            <w:tcW w:w="817" w:type="dxa"/>
          </w:tcPr>
          <w:p w:rsidR="000F7A1B" w:rsidRPr="001216C7" w:rsidRDefault="000F7A1B" w:rsidP="00B20BA9">
            <w:pPr>
              <w:jc w:val="both"/>
              <w:rPr>
                <w:rFonts w:ascii="Arial" w:hAnsi="Arial" w:cs="Arial"/>
                <w:szCs w:val="24"/>
              </w:rPr>
            </w:pPr>
            <w:r w:rsidRPr="001216C7">
              <w:rPr>
                <w:rFonts w:ascii="Arial" w:hAnsi="Arial" w:cs="Arial"/>
                <w:szCs w:val="24"/>
              </w:rPr>
              <w:t>2.</w:t>
            </w:r>
            <w:r>
              <w:rPr>
                <w:rFonts w:ascii="Arial" w:hAnsi="Arial" w:cs="Arial"/>
                <w:szCs w:val="24"/>
              </w:rPr>
              <w:t>1</w:t>
            </w:r>
          </w:p>
        </w:tc>
        <w:tc>
          <w:tcPr>
            <w:tcW w:w="8647" w:type="dxa"/>
          </w:tcPr>
          <w:p w:rsidR="000F7A1B" w:rsidRDefault="000F7A1B" w:rsidP="00B20BA9">
            <w:pPr>
              <w:jc w:val="both"/>
              <w:rPr>
                <w:rFonts w:ascii="Arial" w:hAnsi="Arial" w:cs="Arial"/>
              </w:rPr>
            </w:pPr>
            <w:r w:rsidRPr="001216C7">
              <w:rPr>
                <w:rFonts w:ascii="Arial" w:hAnsi="Arial" w:cs="Arial"/>
                <w:szCs w:val="24"/>
              </w:rPr>
              <w:t xml:space="preserve">At its meeting held </w:t>
            </w:r>
            <w:r w:rsidR="007C1889">
              <w:rPr>
                <w:rFonts w:ascii="Arial" w:hAnsi="Arial" w:cs="Arial"/>
                <w:szCs w:val="24"/>
              </w:rPr>
              <w:t>on  18 June 2015 the HLH Board</w:t>
            </w:r>
            <w:r w:rsidRPr="001216C7">
              <w:rPr>
                <w:rFonts w:ascii="Arial" w:hAnsi="Arial" w:cs="Arial"/>
                <w:szCs w:val="24"/>
              </w:rPr>
              <w:t xml:space="preserve"> on considering a report on capital projects </w:t>
            </w:r>
            <w:r w:rsidRPr="001216C7">
              <w:rPr>
                <w:rFonts w:ascii="Arial" w:hAnsi="Arial" w:cs="Arial"/>
              </w:rPr>
              <w:t>in relation to the Torrin outdoor activity centre on Skye</w:t>
            </w:r>
            <w:r w:rsidR="007C1889">
              <w:rPr>
                <w:rFonts w:ascii="Arial" w:hAnsi="Arial" w:cs="Arial"/>
              </w:rPr>
              <w:t xml:space="preserve"> agreed</w:t>
            </w:r>
            <w:r w:rsidRPr="001216C7">
              <w:rPr>
                <w:rFonts w:ascii="Arial" w:hAnsi="Arial" w:cs="Arial"/>
              </w:rPr>
              <w:t>:</w:t>
            </w:r>
          </w:p>
          <w:p w:rsidR="00060117" w:rsidRPr="001216C7" w:rsidRDefault="00060117" w:rsidP="00B20BA9">
            <w:pPr>
              <w:jc w:val="both"/>
              <w:rPr>
                <w:rFonts w:ascii="Arial" w:hAnsi="Arial" w:cs="Arial"/>
              </w:rPr>
            </w:pPr>
          </w:p>
          <w:p w:rsidR="000F7A1B" w:rsidRPr="001216C7" w:rsidRDefault="000F7A1B" w:rsidP="005602CB">
            <w:pPr>
              <w:numPr>
                <w:ilvl w:val="0"/>
                <w:numId w:val="4"/>
              </w:numPr>
              <w:tabs>
                <w:tab w:val="left" w:pos="459"/>
              </w:tabs>
              <w:suppressAutoHyphens/>
              <w:ind w:left="459" w:hanging="459"/>
              <w:jc w:val="both"/>
              <w:rPr>
                <w:rFonts w:ascii="Arial" w:hAnsi="Arial" w:cs="Arial"/>
              </w:rPr>
            </w:pPr>
            <w:r w:rsidRPr="001216C7">
              <w:rPr>
                <w:rFonts w:ascii="Arial" w:hAnsi="Arial" w:cs="Arial"/>
              </w:rPr>
              <w:t>to report usage figures and the estimated costs of bringing the centre up to an acceptable standard to the next Board meeting;</w:t>
            </w:r>
          </w:p>
          <w:p w:rsidR="000F7A1B" w:rsidRPr="001216C7" w:rsidRDefault="000F7A1B" w:rsidP="005602CB">
            <w:pPr>
              <w:numPr>
                <w:ilvl w:val="0"/>
                <w:numId w:val="4"/>
              </w:numPr>
              <w:tabs>
                <w:tab w:val="left" w:pos="459"/>
              </w:tabs>
              <w:suppressAutoHyphens/>
              <w:ind w:left="459" w:hanging="459"/>
              <w:jc w:val="both"/>
              <w:rPr>
                <w:rFonts w:ascii="Arial" w:hAnsi="Arial" w:cs="Arial"/>
              </w:rPr>
            </w:pPr>
            <w:r w:rsidRPr="001216C7">
              <w:rPr>
                <w:rFonts w:ascii="Arial" w:hAnsi="Arial" w:cs="Arial"/>
              </w:rPr>
              <w:t xml:space="preserve">to add the upgrading of the centre to </w:t>
            </w:r>
            <w:r w:rsidRPr="005602CB">
              <w:rPr>
                <w:rFonts w:ascii="Arial" w:hAnsi="Arial" w:cs="Arial"/>
                <w:b/>
              </w:rPr>
              <w:t>Appendix B</w:t>
            </w:r>
            <w:r w:rsidRPr="001216C7">
              <w:rPr>
                <w:rFonts w:ascii="Arial" w:hAnsi="Arial" w:cs="Arial"/>
              </w:rPr>
              <w:t>; and</w:t>
            </w:r>
          </w:p>
          <w:p w:rsidR="000F7A1B" w:rsidRPr="001216C7" w:rsidRDefault="000F7A1B" w:rsidP="005602CB">
            <w:pPr>
              <w:numPr>
                <w:ilvl w:val="0"/>
                <w:numId w:val="4"/>
              </w:numPr>
              <w:tabs>
                <w:tab w:val="left" w:pos="459"/>
              </w:tabs>
              <w:suppressAutoHyphens/>
              <w:ind w:left="459" w:hanging="459"/>
              <w:jc w:val="both"/>
              <w:rPr>
                <w:rFonts w:ascii="Arial" w:hAnsi="Arial" w:cs="Arial"/>
              </w:rPr>
            </w:pPr>
            <w:proofErr w:type="gramStart"/>
            <w:r w:rsidRPr="001216C7">
              <w:rPr>
                <w:rFonts w:ascii="Arial" w:hAnsi="Arial" w:cs="Arial"/>
              </w:rPr>
              <w:lastRenderedPageBreak/>
              <w:t>for</w:t>
            </w:r>
            <w:proofErr w:type="gramEnd"/>
            <w:r w:rsidRPr="001216C7">
              <w:rPr>
                <w:rFonts w:ascii="Arial" w:hAnsi="Arial" w:cs="Arial"/>
              </w:rPr>
              <w:t xml:space="preserve"> the Head of Performance to meet with local Councillors to provide them with an update on the centre.</w:t>
            </w:r>
          </w:p>
          <w:p w:rsidR="000F7A1B" w:rsidRPr="001216C7" w:rsidRDefault="000F7A1B" w:rsidP="00B20BA9">
            <w:pPr>
              <w:jc w:val="both"/>
              <w:rPr>
                <w:rFonts w:ascii="Arial" w:hAnsi="Arial" w:cs="Arial"/>
                <w:szCs w:val="24"/>
              </w:rPr>
            </w:pPr>
          </w:p>
        </w:tc>
      </w:tr>
      <w:tr w:rsidR="00A53534" w:rsidRPr="0089449E">
        <w:tc>
          <w:tcPr>
            <w:tcW w:w="817" w:type="dxa"/>
          </w:tcPr>
          <w:p w:rsidR="00A53534" w:rsidRPr="008B4D54" w:rsidRDefault="008B4D54" w:rsidP="00416BFF">
            <w:pPr>
              <w:rPr>
                <w:rFonts w:ascii="Arial" w:hAnsi="Arial" w:cs="Arial"/>
                <w:szCs w:val="24"/>
              </w:rPr>
            </w:pPr>
            <w:r w:rsidRPr="008B4D54">
              <w:rPr>
                <w:rFonts w:ascii="Arial" w:hAnsi="Arial" w:cs="Arial"/>
                <w:szCs w:val="24"/>
              </w:rPr>
              <w:lastRenderedPageBreak/>
              <w:t>2.</w:t>
            </w:r>
            <w:r w:rsidR="000F7A1B">
              <w:rPr>
                <w:rFonts w:ascii="Arial" w:hAnsi="Arial" w:cs="Arial"/>
                <w:szCs w:val="24"/>
              </w:rPr>
              <w:t>2</w:t>
            </w:r>
          </w:p>
        </w:tc>
        <w:tc>
          <w:tcPr>
            <w:tcW w:w="8647" w:type="dxa"/>
          </w:tcPr>
          <w:p w:rsidR="003A3BC3" w:rsidRDefault="00FA671E" w:rsidP="000A5178">
            <w:pPr>
              <w:suppressAutoHyphens/>
              <w:jc w:val="both"/>
              <w:rPr>
                <w:rFonts w:ascii="Arial" w:hAnsi="Arial" w:cs="Arial"/>
                <w:szCs w:val="24"/>
              </w:rPr>
            </w:pPr>
            <w:r>
              <w:rPr>
                <w:rFonts w:ascii="Arial" w:hAnsi="Arial" w:cs="Arial"/>
                <w:szCs w:val="24"/>
              </w:rPr>
              <w:t>The Trading Company explored the option of developing outdoor activities as a means of generating new income as a part of the process of it considering its priorities. In preparation for this a working group of Directors visited Torrin Outdoor Centre and the other two centres</w:t>
            </w:r>
            <w:r w:rsidR="00A21364">
              <w:rPr>
                <w:rFonts w:ascii="Arial" w:hAnsi="Arial" w:cs="Arial"/>
                <w:szCs w:val="24"/>
              </w:rPr>
              <w:t>.</w:t>
            </w:r>
            <w:r>
              <w:rPr>
                <w:rFonts w:ascii="Arial" w:hAnsi="Arial" w:cs="Arial"/>
                <w:szCs w:val="24"/>
              </w:rPr>
              <w:t xml:space="preserve"> </w:t>
            </w:r>
            <w:r w:rsidR="000A5178">
              <w:rPr>
                <w:rFonts w:ascii="Arial" w:hAnsi="Arial" w:cs="Arial"/>
                <w:szCs w:val="24"/>
              </w:rPr>
              <w:t>During this visit it was considered that the best use of Torrin Outdoor centre was for group bookings and a</w:t>
            </w:r>
            <w:r w:rsidR="00050D22">
              <w:rPr>
                <w:rFonts w:ascii="Arial" w:hAnsi="Arial" w:cs="Arial"/>
                <w:szCs w:val="24"/>
              </w:rPr>
              <w:t>t its meeting on</w:t>
            </w:r>
            <w:r w:rsidR="000F4D0F">
              <w:rPr>
                <w:rFonts w:ascii="Arial" w:hAnsi="Arial" w:cs="Arial"/>
                <w:szCs w:val="24"/>
              </w:rPr>
              <w:t xml:space="preserve"> </w:t>
            </w:r>
            <w:r w:rsidR="001216C7">
              <w:rPr>
                <w:rFonts w:ascii="Arial" w:hAnsi="Arial" w:cs="Arial"/>
                <w:szCs w:val="24"/>
              </w:rPr>
              <w:t>24 April</w:t>
            </w:r>
            <w:r w:rsidR="001216C7" w:rsidRPr="00CC5718">
              <w:rPr>
                <w:rFonts w:ascii="Arial" w:hAnsi="Arial" w:cs="Arial"/>
                <w:szCs w:val="24"/>
              </w:rPr>
              <w:t xml:space="preserve"> 2014</w:t>
            </w:r>
            <w:r w:rsidR="00A21364">
              <w:rPr>
                <w:rFonts w:ascii="Arial" w:hAnsi="Arial" w:cs="Arial"/>
                <w:szCs w:val="24"/>
              </w:rPr>
              <w:t xml:space="preserve"> the</w:t>
            </w:r>
            <w:r w:rsidR="001216C7" w:rsidRPr="00CC5718">
              <w:rPr>
                <w:rFonts w:ascii="Arial" w:hAnsi="Arial" w:cs="Arial"/>
                <w:szCs w:val="24"/>
              </w:rPr>
              <w:t xml:space="preserve"> </w:t>
            </w:r>
            <w:r w:rsidR="000F4D0F">
              <w:rPr>
                <w:rFonts w:ascii="Arial" w:hAnsi="Arial" w:cs="Arial"/>
                <w:szCs w:val="24"/>
              </w:rPr>
              <w:t>Trading Company</w:t>
            </w:r>
            <w:r>
              <w:rPr>
                <w:rFonts w:ascii="Arial" w:hAnsi="Arial" w:cs="Arial"/>
                <w:szCs w:val="24"/>
              </w:rPr>
              <w:t xml:space="preserve"> considered a report on outdoor activities </w:t>
            </w:r>
            <w:r w:rsidR="000A5178">
              <w:rPr>
                <w:rFonts w:ascii="Arial" w:hAnsi="Arial" w:cs="Arial"/>
                <w:szCs w:val="24"/>
              </w:rPr>
              <w:t xml:space="preserve">and agreed </w:t>
            </w:r>
            <w:r w:rsidR="001216C7">
              <w:rPr>
                <w:rFonts w:ascii="Arial" w:hAnsi="Arial" w:cs="Arial"/>
                <w:szCs w:val="24"/>
              </w:rPr>
              <w:t>to the principle of controlled/incremental growth of outdoor activity provision</w:t>
            </w:r>
            <w:r w:rsidR="000A5178">
              <w:rPr>
                <w:rFonts w:ascii="Arial" w:hAnsi="Arial" w:cs="Arial"/>
                <w:szCs w:val="24"/>
              </w:rPr>
              <w:t xml:space="preserve"> without significant investment. </w:t>
            </w:r>
          </w:p>
          <w:p w:rsidR="000A5178" w:rsidRPr="0089449E" w:rsidRDefault="000A5178" w:rsidP="000A5178">
            <w:pPr>
              <w:suppressAutoHyphens/>
              <w:jc w:val="both"/>
              <w:rPr>
                <w:rFonts w:ascii="Arial" w:hAnsi="Arial" w:cs="Arial"/>
                <w:szCs w:val="24"/>
              </w:rPr>
            </w:pPr>
          </w:p>
        </w:tc>
      </w:tr>
      <w:tr w:rsidR="00FF59DD" w:rsidRPr="00FF59DD" w:rsidTr="009C27EE">
        <w:tc>
          <w:tcPr>
            <w:tcW w:w="817" w:type="dxa"/>
          </w:tcPr>
          <w:p w:rsidR="00FF59DD" w:rsidRPr="00FF59DD" w:rsidRDefault="00FF59DD" w:rsidP="009C27EE">
            <w:pPr>
              <w:jc w:val="both"/>
              <w:rPr>
                <w:rFonts w:ascii="Arial" w:hAnsi="Arial" w:cs="Arial"/>
                <w:szCs w:val="24"/>
              </w:rPr>
            </w:pPr>
            <w:r w:rsidRPr="00FF59DD">
              <w:rPr>
                <w:rFonts w:ascii="Arial" w:hAnsi="Arial" w:cs="Arial"/>
                <w:szCs w:val="24"/>
              </w:rPr>
              <w:t>2.3</w:t>
            </w:r>
          </w:p>
        </w:tc>
        <w:tc>
          <w:tcPr>
            <w:tcW w:w="8647" w:type="dxa"/>
          </w:tcPr>
          <w:p w:rsidR="00B36B88" w:rsidRDefault="00FF59DD" w:rsidP="00B36B88">
            <w:pPr>
              <w:jc w:val="both"/>
              <w:rPr>
                <w:rFonts w:ascii="Arial" w:hAnsi="Arial" w:cs="Arial"/>
                <w:szCs w:val="24"/>
              </w:rPr>
            </w:pPr>
            <w:r w:rsidRPr="00FF59DD">
              <w:rPr>
                <w:rFonts w:ascii="Arial" w:hAnsi="Arial" w:cs="Arial"/>
                <w:szCs w:val="24"/>
              </w:rPr>
              <w:t xml:space="preserve">The </w:t>
            </w:r>
            <w:r w:rsidR="00A21364">
              <w:rPr>
                <w:rFonts w:ascii="Arial" w:hAnsi="Arial" w:cs="Arial"/>
                <w:szCs w:val="24"/>
              </w:rPr>
              <w:t>June 2015</w:t>
            </w:r>
            <w:r w:rsidR="00B36B88">
              <w:rPr>
                <w:rFonts w:ascii="Arial" w:hAnsi="Arial" w:cs="Arial"/>
                <w:szCs w:val="24"/>
              </w:rPr>
              <w:t xml:space="preserve"> </w:t>
            </w:r>
            <w:r w:rsidR="00060117">
              <w:rPr>
                <w:rFonts w:ascii="Arial" w:hAnsi="Arial" w:cs="Arial"/>
                <w:szCs w:val="24"/>
              </w:rPr>
              <w:t>B</w:t>
            </w:r>
            <w:r w:rsidR="00B36B88">
              <w:rPr>
                <w:rFonts w:ascii="Arial" w:hAnsi="Arial" w:cs="Arial"/>
                <w:szCs w:val="24"/>
              </w:rPr>
              <w:t xml:space="preserve">oard meeting </w:t>
            </w:r>
            <w:r w:rsidR="00A21364">
              <w:rPr>
                <w:rFonts w:ascii="Arial" w:hAnsi="Arial" w:cs="Arial"/>
                <w:szCs w:val="24"/>
              </w:rPr>
              <w:t xml:space="preserve">added </w:t>
            </w:r>
            <w:r w:rsidR="00B36B88">
              <w:rPr>
                <w:rFonts w:ascii="Arial" w:hAnsi="Arial" w:cs="Arial"/>
                <w:szCs w:val="24"/>
              </w:rPr>
              <w:t>Torrin to the planned and cyclical maintenance programme for 2016/17</w:t>
            </w:r>
            <w:r w:rsidR="00A21364">
              <w:rPr>
                <w:rFonts w:ascii="Arial" w:hAnsi="Arial" w:cs="Arial"/>
                <w:szCs w:val="24"/>
              </w:rPr>
              <w:t>.</w:t>
            </w:r>
            <w:r w:rsidR="00B36B88">
              <w:rPr>
                <w:rFonts w:ascii="Arial" w:hAnsi="Arial" w:cs="Arial"/>
                <w:szCs w:val="24"/>
              </w:rPr>
              <w:t xml:space="preserve"> </w:t>
            </w:r>
            <w:r w:rsidR="00A21364">
              <w:rPr>
                <w:rFonts w:ascii="Arial" w:hAnsi="Arial" w:cs="Arial"/>
                <w:szCs w:val="24"/>
              </w:rPr>
              <w:t xml:space="preserve">This </w:t>
            </w:r>
            <w:r w:rsidR="00B36B88">
              <w:rPr>
                <w:rFonts w:ascii="Arial" w:hAnsi="Arial" w:cs="Arial"/>
                <w:szCs w:val="24"/>
              </w:rPr>
              <w:t xml:space="preserve">has </w:t>
            </w:r>
            <w:r w:rsidR="00A21364">
              <w:rPr>
                <w:rFonts w:ascii="Arial" w:hAnsi="Arial" w:cs="Arial"/>
                <w:szCs w:val="24"/>
              </w:rPr>
              <w:t xml:space="preserve">now </w:t>
            </w:r>
            <w:r w:rsidR="00B36B88">
              <w:rPr>
                <w:rFonts w:ascii="Arial" w:hAnsi="Arial" w:cs="Arial"/>
                <w:szCs w:val="24"/>
              </w:rPr>
              <w:t xml:space="preserve">been submitted to THC. </w:t>
            </w:r>
          </w:p>
          <w:p w:rsidR="00FF59DD" w:rsidRPr="00FF59DD" w:rsidRDefault="00B36B88" w:rsidP="00B36B88">
            <w:pPr>
              <w:jc w:val="both"/>
              <w:rPr>
                <w:rFonts w:ascii="Arial" w:hAnsi="Arial" w:cs="Arial"/>
                <w:szCs w:val="24"/>
              </w:rPr>
            </w:pPr>
            <w:r>
              <w:rPr>
                <w:rFonts w:ascii="Arial" w:hAnsi="Arial" w:cs="Arial"/>
                <w:szCs w:val="24"/>
              </w:rPr>
              <w:t xml:space="preserve"> </w:t>
            </w:r>
          </w:p>
        </w:tc>
      </w:tr>
      <w:tr w:rsidR="00050D22" w:rsidRPr="00AB2E22" w:rsidTr="009C27EE">
        <w:tc>
          <w:tcPr>
            <w:tcW w:w="817" w:type="dxa"/>
          </w:tcPr>
          <w:p w:rsidR="00050D22" w:rsidRPr="00AB2E22" w:rsidRDefault="00AB2E22" w:rsidP="009C27EE">
            <w:pPr>
              <w:jc w:val="both"/>
              <w:rPr>
                <w:rFonts w:ascii="Arial" w:hAnsi="Arial" w:cs="Arial"/>
                <w:b/>
                <w:szCs w:val="24"/>
              </w:rPr>
            </w:pPr>
            <w:r w:rsidRPr="00AB2E22">
              <w:rPr>
                <w:rFonts w:ascii="Arial" w:hAnsi="Arial" w:cs="Arial"/>
                <w:b/>
                <w:szCs w:val="24"/>
              </w:rPr>
              <w:t>3.</w:t>
            </w:r>
          </w:p>
        </w:tc>
        <w:tc>
          <w:tcPr>
            <w:tcW w:w="8647" w:type="dxa"/>
          </w:tcPr>
          <w:p w:rsidR="00E926F1" w:rsidRDefault="00AB2E22" w:rsidP="00E926F1">
            <w:pPr>
              <w:jc w:val="both"/>
              <w:rPr>
                <w:rFonts w:ascii="Arial" w:hAnsi="Arial" w:cs="Arial"/>
                <w:b/>
                <w:szCs w:val="24"/>
              </w:rPr>
            </w:pPr>
            <w:r w:rsidRPr="00AB2E22">
              <w:rPr>
                <w:rFonts w:ascii="Arial" w:hAnsi="Arial" w:cs="Arial"/>
                <w:b/>
                <w:szCs w:val="24"/>
              </w:rPr>
              <w:t>Usage Figures</w:t>
            </w:r>
            <w:r w:rsidR="00B22D30">
              <w:rPr>
                <w:rFonts w:ascii="Arial" w:hAnsi="Arial" w:cs="Arial"/>
                <w:b/>
                <w:szCs w:val="24"/>
              </w:rPr>
              <w:t xml:space="preserve"> and Income</w:t>
            </w:r>
          </w:p>
          <w:p w:rsidR="000A5178" w:rsidRPr="00AB2E22" w:rsidRDefault="000A5178" w:rsidP="00E926F1">
            <w:pPr>
              <w:jc w:val="both"/>
              <w:rPr>
                <w:rFonts w:ascii="Arial" w:hAnsi="Arial" w:cs="Arial"/>
                <w:b/>
                <w:szCs w:val="24"/>
              </w:rPr>
            </w:pPr>
          </w:p>
        </w:tc>
      </w:tr>
      <w:tr w:rsidR="00AB2E22" w:rsidRPr="00AB2E22">
        <w:tc>
          <w:tcPr>
            <w:tcW w:w="817" w:type="dxa"/>
          </w:tcPr>
          <w:p w:rsidR="00AB2E22" w:rsidRPr="00AB2E22" w:rsidRDefault="00AB2E22" w:rsidP="00590C36">
            <w:pPr>
              <w:autoSpaceDE w:val="0"/>
              <w:autoSpaceDN w:val="0"/>
              <w:adjustRightInd w:val="0"/>
              <w:rPr>
                <w:rFonts w:ascii="Arial" w:hAnsi="Arial" w:cs="Arial"/>
              </w:rPr>
            </w:pPr>
            <w:r w:rsidRPr="00AB2E22">
              <w:rPr>
                <w:rFonts w:ascii="Arial" w:hAnsi="Arial" w:cs="Arial"/>
              </w:rPr>
              <w:t>3.1</w:t>
            </w:r>
          </w:p>
        </w:tc>
        <w:tc>
          <w:tcPr>
            <w:tcW w:w="8647" w:type="dxa"/>
          </w:tcPr>
          <w:p w:rsidR="00AB2E22" w:rsidRDefault="00D00C08" w:rsidP="00B22D30">
            <w:pPr>
              <w:autoSpaceDE w:val="0"/>
              <w:autoSpaceDN w:val="0"/>
              <w:adjustRightInd w:val="0"/>
              <w:jc w:val="both"/>
              <w:rPr>
                <w:rFonts w:ascii="Arial" w:hAnsi="Arial" w:cs="Arial"/>
              </w:rPr>
            </w:pPr>
            <w:r>
              <w:rPr>
                <w:rFonts w:ascii="Arial" w:hAnsi="Arial" w:cs="Arial"/>
              </w:rPr>
              <w:t xml:space="preserve">To illustrate </w:t>
            </w:r>
            <w:r w:rsidR="00787413">
              <w:rPr>
                <w:rFonts w:ascii="Arial" w:hAnsi="Arial" w:cs="Arial"/>
              </w:rPr>
              <w:t>the</w:t>
            </w:r>
            <w:r w:rsidR="00B22D30">
              <w:rPr>
                <w:rFonts w:ascii="Arial" w:hAnsi="Arial" w:cs="Arial"/>
              </w:rPr>
              <w:t xml:space="preserve"> </w:t>
            </w:r>
            <w:r>
              <w:rPr>
                <w:rFonts w:ascii="Arial" w:hAnsi="Arial" w:cs="Arial"/>
              </w:rPr>
              <w:t xml:space="preserve">use of Torrin Outdoor Centre the 2014 bookings can be seen in </w:t>
            </w:r>
            <w:r>
              <w:rPr>
                <w:rFonts w:ascii="Arial" w:hAnsi="Arial" w:cs="Arial"/>
                <w:b/>
              </w:rPr>
              <w:t>Appendix A</w:t>
            </w:r>
            <w:r>
              <w:rPr>
                <w:rFonts w:ascii="Arial" w:hAnsi="Arial" w:cs="Arial"/>
              </w:rPr>
              <w:t xml:space="preserve">. </w:t>
            </w:r>
            <w:r w:rsidR="00344745">
              <w:rPr>
                <w:rFonts w:ascii="Arial" w:hAnsi="Arial" w:cs="Arial"/>
              </w:rPr>
              <w:t xml:space="preserve"> </w:t>
            </w:r>
            <w:r w:rsidR="00B22D30">
              <w:rPr>
                <w:rFonts w:ascii="Arial" w:hAnsi="Arial" w:cs="Arial"/>
              </w:rPr>
              <w:t xml:space="preserve">In 2014 the </w:t>
            </w:r>
            <w:r>
              <w:rPr>
                <w:rFonts w:ascii="Arial" w:hAnsi="Arial" w:cs="Arial"/>
              </w:rPr>
              <w:t xml:space="preserve">occupancy </w:t>
            </w:r>
            <w:r w:rsidR="00B22D30">
              <w:rPr>
                <w:rFonts w:ascii="Arial" w:hAnsi="Arial" w:cs="Arial"/>
              </w:rPr>
              <w:t xml:space="preserve">rate was 33% </w:t>
            </w:r>
            <w:r w:rsidR="0046047A">
              <w:rPr>
                <w:rFonts w:ascii="Arial" w:hAnsi="Arial" w:cs="Arial"/>
              </w:rPr>
              <w:t>and income was £8.5K</w:t>
            </w:r>
            <w:r w:rsidR="00B22D30">
              <w:rPr>
                <w:rFonts w:ascii="Arial" w:hAnsi="Arial" w:cs="Arial"/>
              </w:rPr>
              <w:t xml:space="preserve">. </w:t>
            </w:r>
            <w:r w:rsidR="0046047A">
              <w:rPr>
                <w:rFonts w:ascii="Arial" w:hAnsi="Arial" w:cs="Arial"/>
              </w:rPr>
              <w:t>Occupancy is calculated on the basis of nights the facility is booked rather than bed-nights because the charge remains the same irrespective of the number of occupants</w:t>
            </w:r>
            <w:r w:rsidR="009F32AF">
              <w:rPr>
                <w:rFonts w:ascii="Arial" w:hAnsi="Arial" w:cs="Arial"/>
              </w:rPr>
              <w:t xml:space="preserve">. </w:t>
            </w:r>
          </w:p>
          <w:p w:rsidR="0046047A" w:rsidRPr="00AB2E22" w:rsidRDefault="0046047A" w:rsidP="00B22D30">
            <w:pPr>
              <w:autoSpaceDE w:val="0"/>
              <w:autoSpaceDN w:val="0"/>
              <w:adjustRightInd w:val="0"/>
              <w:jc w:val="both"/>
              <w:rPr>
                <w:rFonts w:ascii="Arial" w:hAnsi="Arial" w:cs="Arial"/>
              </w:rPr>
            </w:pPr>
          </w:p>
        </w:tc>
      </w:tr>
      <w:tr w:rsidR="0046047A" w:rsidRPr="00AB2E22" w:rsidTr="007B1A63">
        <w:tc>
          <w:tcPr>
            <w:tcW w:w="817" w:type="dxa"/>
          </w:tcPr>
          <w:p w:rsidR="0046047A" w:rsidRPr="00AB2E22" w:rsidRDefault="0046047A" w:rsidP="007B1A63">
            <w:pPr>
              <w:autoSpaceDE w:val="0"/>
              <w:autoSpaceDN w:val="0"/>
              <w:adjustRightInd w:val="0"/>
              <w:rPr>
                <w:rFonts w:ascii="Arial" w:hAnsi="Arial" w:cs="Arial"/>
              </w:rPr>
            </w:pPr>
            <w:r>
              <w:rPr>
                <w:rFonts w:ascii="Arial" w:hAnsi="Arial" w:cs="Arial"/>
              </w:rPr>
              <w:t>3.2</w:t>
            </w:r>
          </w:p>
        </w:tc>
        <w:tc>
          <w:tcPr>
            <w:tcW w:w="8647" w:type="dxa"/>
          </w:tcPr>
          <w:p w:rsidR="0046047A" w:rsidRDefault="0046047A" w:rsidP="007B1A63">
            <w:pPr>
              <w:autoSpaceDE w:val="0"/>
              <w:autoSpaceDN w:val="0"/>
              <w:adjustRightInd w:val="0"/>
              <w:jc w:val="both"/>
              <w:rPr>
                <w:rFonts w:ascii="Arial" w:hAnsi="Arial" w:cs="Arial"/>
              </w:rPr>
            </w:pPr>
            <w:r>
              <w:rPr>
                <w:rFonts w:ascii="Arial" w:hAnsi="Arial" w:cs="Arial"/>
              </w:rPr>
              <w:t xml:space="preserve">The table below </w:t>
            </w:r>
            <w:r w:rsidR="00264850">
              <w:rPr>
                <w:rFonts w:ascii="Arial" w:hAnsi="Arial" w:cs="Arial"/>
              </w:rPr>
              <w:t xml:space="preserve">estimates </w:t>
            </w:r>
            <w:r>
              <w:rPr>
                <w:rFonts w:ascii="Arial" w:hAnsi="Arial" w:cs="Arial"/>
              </w:rPr>
              <w:t xml:space="preserve">the income which could be achieved through higher occupancy rates and increasing charges. </w:t>
            </w:r>
          </w:p>
          <w:p w:rsidR="0046047A" w:rsidRDefault="0046047A" w:rsidP="007B1A63">
            <w:pPr>
              <w:autoSpaceDE w:val="0"/>
              <w:autoSpaceDN w:val="0"/>
              <w:adjustRightInd w:val="0"/>
              <w:jc w:val="both"/>
              <w:rPr>
                <w:rFonts w:ascii="Arial" w:hAnsi="Arial" w:cs="Arial"/>
              </w:rPr>
            </w:pPr>
          </w:p>
          <w:tbl>
            <w:tblPr>
              <w:tblW w:w="8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4689"/>
            </w:tblGrid>
            <w:tr w:rsidR="0046047A" w:rsidRPr="0046047A" w:rsidTr="00E5117E">
              <w:trPr>
                <w:trHeight w:val="300"/>
              </w:trPr>
              <w:tc>
                <w:tcPr>
                  <w:tcW w:w="3420" w:type="dxa"/>
                  <w:shd w:val="clear" w:color="auto" w:fill="auto"/>
                  <w:noWrap/>
                  <w:vAlign w:val="bottom"/>
                  <w:hideMark/>
                </w:tcPr>
                <w:p w:rsidR="0046047A" w:rsidRPr="0046047A" w:rsidRDefault="0046047A" w:rsidP="009F32AF">
                  <w:pPr>
                    <w:jc w:val="center"/>
                    <w:rPr>
                      <w:rFonts w:ascii="Arial" w:hAnsi="Arial" w:cs="Arial"/>
                      <w:b/>
                      <w:color w:val="000000"/>
                      <w:szCs w:val="24"/>
                    </w:rPr>
                  </w:pPr>
                  <w:r w:rsidRPr="0046047A">
                    <w:rPr>
                      <w:rFonts w:ascii="Arial" w:hAnsi="Arial" w:cs="Arial"/>
                      <w:b/>
                      <w:color w:val="000000"/>
                      <w:szCs w:val="24"/>
                    </w:rPr>
                    <w:t>Occupancy</w:t>
                  </w:r>
                </w:p>
              </w:tc>
              <w:tc>
                <w:tcPr>
                  <w:tcW w:w="4689" w:type="dxa"/>
                  <w:shd w:val="clear" w:color="auto" w:fill="auto"/>
                  <w:noWrap/>
                  <w:vAlign w:val="bottom"/>
                  <w:hideMark/>
                </w:tcPr>
                <w:p w:rsidR="0046047A" w:rsidRPr="0046047A" w:rsidRDefault="0046047A" w:rsidP="009F32AF">
                  <w:pPr>
                    <w:jc w:val="center"/>
                    <w:rPr>
                      <w:rFonts w:ascii="Arial" w:hAnsi="Arial" w:cs="Arial"/>
                      <w:b/>
                      <w:color w:val="000000"/>
                      <w:szCs w:val="24"/>
                    </w:rPr>
                  </w:pPr>
                  <w:r w:rsidRPr="0046047A">
                    <w:rPr>
                      <w:rFonts w:ascii="Arial" w:hAnsi="Arial" w:cs="Arial"/>
                      <w:b/>
                      <w:color w:val="000000"/>
                      <w:szCs w:val="24"/>
                    </w:rPr>
                    <w:t>Projected Income based on</w:t>
                  </w:r>
                  <w:r w:rsidRPr="009F32AF">
                    <w:rPr>
                      <w:rFonts w:ascii="Arial" w:hAnsi="Arial" w:cs="Arial"/>
                      <w:b/>
                      <w:color w:val="000000"/>
                      <w:szCs w:val="24"/>
                    </w:rPr>
                    <w:t xml:space="preserve"> increasing </w:t>
                  </w:r>
                  <w:r w:rsidRPr="0046047A">
                    <w:rPr>
                      <w:rFonts w:ascii="Arial" w:hAnsi="Arial" w:cs="Arial"/>
                      <w:b/>
                      <w:color w:val="000000"/>
                      <w:szCs w:val="24"/>
                    </w:rPr>
                    <w:t>occupancy</w:t>
                  </w:r>
                  <w:r w:rsidRPr="009F32AF">
                    <w:rPr>
                      <w:rFonts w:ascii="Arial" w:hAnsi="Arial" w:cs="Arial"/>
                      <w:b/>
                      <w:color w:val="000000"/>
                      <w:szCs w:val="24"/>
                    </w:rPr>
                    <w:t xml:space="preserve"> and charges</w:t>
                  </w:r>
                </w:p>
              </w:tc>
            </w:tr>
            <w:tr w:rsidR="0046047A" w:rsidRPr="0046047A" w:rsidTr="00E5117E">
              <w:trPr>
                <w:trHeight w:val="300"/>
              </w:trPr>
              <w:tc>
                <w:tcPr>
                  <w:tcW w:w="3420" w:type="dxa"/>
                  <w:shd w:val="clear" w:color="auto" w:fill="auto"/>
                  <w:noWrap/>
                  <w:vAlign w:val="bottom"/>
                  <w:hideMark/>
                </w:tcPr>
                <w:p w:rsidR="0046047A" w:rsidRPr="0046047A" w:rsidRDefault="0046047A" w:rsidP="009F32AF">
                  <w:pPr>
                    <w:jc w:val="center"/>
                    <w:rPr>
                      <w:rFonts w:ascii="Arial" w:hAnsi="Arial" w:cs="Arial"/>
                      <w:color w:val="000000"/>
                      <w:szCs w:val="24"/>
                    </w:rPr>
                  </w:pPr>
                  <w:r w:rsidRPr="0046047A">
                    <w:rPr>
                      <w:rFonts w:ascii="Arial" w:hAnsi="Arial" w:cs="Arial"/>
                      <w:color w:val="000000"/>
                      <w:szCs w:val="24"/>
                    </w:rPr>
                    <w:t>33</w:t>
                  </w:r>
                  <w:r>
                    <w:rPr>
                      <w:rFonts w:ascii="Arial" w:hAnsi="Arial" w:cs="Arial"/>
                      <w:color w:val="000000"/>
                      <w:szCs w:val="24"/>
                    </w:rPr>
                    <w:t>%*</w:t>
                  </w:r>
                </w:p>
              </w:tc>
              <w:tc>
                <w:tcPr>
                  <w:tcW w:w="4689" w:type="dxa"/>
                  <w:shd w:val="clear" w:color="auto" w:fill="auto"/>
                  <w:noWrap/>
                  <w:vAlign w:val="bottom"/>
                  <w:hideMark/>
                </w:tcPr>
                <w:p w:rsidR="0046047A" w:rsidRPr="0046047A" w:rsidRDefault="009F32AF" w:rsidP="009F32AF">
                  <w:pPr>
                    <w:jc w:val="center"/>
                    <w:rPr>
                      <w:rFonts w:ascii="Arial" w:hAnsi="Arial" w:cs="Arial"/>
                      <w:color w:val="000000"/>
                      <w:szCs w:val="24"/>
                    </w:rPr>
                  </w:pPr>
                  <w:r>
                    <w:rPr>
                      <w:rFonts w:ascii="Arial" w:hAnsi="Arial" w:cs="Arial"/>
                      <w:color w:val="000000"/>
                      <w:szCs w:val="24"/>
                    </w:rPr>
                    <w:t>£</w:t>
                  </w:r>
                  <w:r w:rsidR="0046047A" w:rsidRPr="0046047A">
                    <w:rPr>
                      <w:rFonts w:ascii="Arial" w:hAnsi="Arial" w:cs="Arial"/>
                      <w:color w:val="000000"/>
                      <w:szCs w:val="24"/>
                    </w:rPr>
                    <w:t>12,180</w:t>
                  </w:r>
                </w:p>
              </w:tc>
            </w:tr>
            <w:tr w:rsidR="0046047A" w:rsidRPr="0046047A" w:rsidTr="00E5117E">
              <w:trPr>
                <w:trHeight w:val="300"/>
              </w:trPr>
              <w:tc>
                <w:tcPr>
                  <w:tcW w:w="3420" w:type="dxa"/>
                  <w:shd w:val="clear" w:color="auto" w:fill="auto"/>
                  <w:noWrap/>
                  <w:vAlign w:val="bottom"/>
                  <w:hideMark/>
                </w:tcPr>
                <w:p w:rsidR="0046047A" w:rsidRPr="0046047A" w:rsidRDefault="0046047A" w:rsidP="009F32AF">
                  <w:pPr>
                    <w:jc w:val="center"/>
                    <w:rPr>
                      <w:rFonts w:ascii="Arial" w:hAnsi="Arial" w:cs="Arial"/>
                      <w:color w:val="000000"/>
                      <w:szCs w:val="24"/>
                    </w:rPr>
                  </w:pPr>
                  <w:r w:rsidRPr="0046047A">
                    <w:rPr>
                      <w:rFonts w:ascii="Arial" w:hAnsi="Arial" w:cs="Arial"/>
                      <w:color w:val="000000"/>
                      <w:szCs w:val="24"/>
                    </w:rPr>
                    <w:t>40</w:t>
                  </w:r>
                  <w:r>
                    <w:rPr>
                      <w:rFonts w:ascii="Arial" w:hAnsi="Arial" w:cs="Arial"/>
                      <w:color w:val="000000"/>
                      <w:szCs w:val="24"/>
                    </w:rPr>
                    <w:t>%</w:t>
                  </w:r>
                </w:p>
              </w:tc>
              <w:tc>
                <w:tcPr>
                  <w:tcW w:w="4689" w:type="dxa"/>
                  <w:shd w:val="clear" w:color="auto" w:fill="auto"/>
                  <w:noWrap/>
                  <w:vAlign w:val="bottom"/>
                  <w:hideMark/>
                </w:tcPr>
                <w:p w:rsidR="0046047A" w:rsidRPr="0046047A" w:rsidRDefault="009F32AF" w:rsidP="009F32AF">
                  <w:pPr>
                    <w:jc w:val="center"/>
                    <w:rPr>
                      <w:rFonts w:ascii="Arial" w:hAnsi="Arial" w:cs="Arial"/>
                      <w:color w:val="000000"/>
                      <w:szCs w:val="24"/>
                    </w:rPr>
                  </w:pPr>
                  <w:r>
                    <w:rPr>
                      <w:rFonts w:ascii="Arial" w:hAnsi="Arial" w:cs="Arial"/>
                      <w:color w:val="000000"/>
                      <w:szCs w:val="24"/>
                    </w:rPr>
                    <w:t>£</w:t>
                  </w:r>
                  <w:r w:rsidR="0046047A" w:rsidRPr="0046047A">
                    <w:rPr>
                      <w:rFonts w:ascii="Arial" w:hAnsi="Arial" w:cs="Arial"/>
                      <w:color w:val="000000"/>
                      <w:szCs w:val="24"/>
                    </w:rPr>
                    <w:t>14,944</w:t>
                  </w:r>
                </w:p>
              </w:tc>
            </w:tr>
            <w:tr w:rsidR="0046047A" w:rsidRPr="0046047A" w:rsidTr="00E5117E">
              <w:trPr>
                <w:trHeight w:val="300"/>
              </w:trPr>
              <w:tc>
                <w:tcPr>
                  <w:tcW w:w="3420" w:type="dxa"/>
                  <w:shd w:val="clear" w:color="auto" w:fill="auto"/>
                  <w:noWrap/>
                  <w:vAlign w:val="bottom"/>
                  <w:hideMark/>
                </w:tcPr>
                <w:p w:rsidR="0046047A" w:rsidRPr="0046047A" w:rsidRDefault="0046047A" w:rsidP="009F32AF">
                  <w:pPr>
                    <w:jc w:val="center"/>
                    <w:rPr>
                      <w:rFonts w:ascii="Arial" w:hAnsi="Arial" w:cs="Arial"/>
                      <w:color w:val="000000"/>
                      <w:szCs w:val="24"/>
                    </w:rPr>
                  </w:pPr>
                  <w:r w:rsidRPr="0046047A">
                    <w:rPr>
                      <w:rFonts w:ascii="Arial" w:hAnsi="Arial" w:cs="Arial"/>
                      <w:color w:val="000000"/>
                      <w:szCs w:val="24"/>
                    </w:rPr>
                    <w:t>50</w:t>
                  </w:r>
                  <w:r>
                    <w:rPr>
                      <w:rFonts w:ascii="Arial" w:hAnsi="Arial" w:cs="Arial"/>
                      <w:color w:val="000000"/>
                      <w:szCs w:val="24"/>
                    </w:rPr>
                    <w:t>%</w:t>
                  </w:r>
                </w:p>
              </w:tc>
              <w:tc>
                <w:tcPr>
                  <w:tcW w:w="4689" w:type="dxa"/>
                  <w:shd w:val="clear" w:color="auto" w:fill="auto"/>
                  <w:noWrap/>
                  <w:vAlign w:val="bottom"/>
                  <w:hideMark/>
                </w:tcPr>
                <w:p w:rsidR="0046047A" w:rsidRPr="0046047A" w:rsidRDefault="009F32AF" w:rsidP="009F32AF">
                  <w:pPr>
                    <w:jc w:val="center"/>
                    <w:rPr>
                      <w:rFonts w:ascii="Arial" w:hAnsi="Arial" w:cs="Arial"/>
                      <w:color w:val="000000"/>
                      <w:szCs w:val="24"/>
                    </w:rPr>
                  </w:pPr>
                  <w:r>
                    <w:rPr>
                      <w:rFonts w:ascii="Arial" w:hAnsi="Arial" w:cs="Arial"/>
                      <w:color w:val="000000"/>
                      <w:szCs w:val="24"/>
                    </w:rPr>
                    <w:t>£</w:t>
                  </w:r>
                  <w:r w:rsidR="0046047A" w:rsidRPr="0046047A">
                    <w:rPr>
                      <w:rFonts w:ascii="Arial" w:hAnsi="Arial" w:cs="Arial"/>
                      <w:color w:val="000000"/>
                      <w:szCs w:val="24"/>
                    </w:rPr>
                    <w:t>18,679</w:t>
                  </w:r>
                </w:p>
              </w:tc>
            </w:tr>
            <w:tr w:rsidR="0046047A" w:rsidRPr="0046047A" w:rsidTr="00E5117E">
              <w:trPr>
                <w:trHeight w:val="300"/>
              </w:trPr>
              <w:tc>
                <w:tcPr>
                  <w:tcW w:w="3420" w:type="dxa"/>
                  <w:shd w:val="clear" w:color="auto" w:fill="auto"/>
                  <w:noWrap/>
                  <w:vAlign w:val="bottom"/>
                  <w:hideMark/>
                </w:tcPr>
                <w:p w:rsidR="0046047A" w:rsidRPr="0046047A" w:rsidRDefault="0046047A" w:rsidP="009F32AF">
                  <w:pPr>
                    <w:jc w:val="center"/>
                    <w:rPr>
                      <w:rFonts w:ascii="Arial" w:hAnsi="Arial" w:cs="Arial"/>
                      <w:color w:val="000000"/>
                      <w:szCs w:val="24"/>
                    </w:rPr>
                  </w:pPr>
                  <w:r w:rsidRPr="0046047A">
                    <w:rPr>
                      <w:rFonts w:ascii="Arial" w:hAnsi="Arial" w:cs="Arial"/>
                      <w:color w:val="000000"/>
                      <w:szCs w:val="24"/>
                    </w:rPr>
                    <w:t>60</w:t>
                  </w:r>
                  <w:r>
                    <w:rPr>
                      <w:rFonts w:ascii="Arial" w:hAnsi="Arial" w:cs="Arial"/>
                      <w:color w:val="000000"/>
                      <w:szCs w:val="24"/>
                    </w:rPr>
                    <w:t>%</w:t>
                  </w:r>
                </w:p>
              </w:tc>
              <w:tc>
                <w:tcPr>
                  <w:tcW w:w="4689" w:type="dxa"/>
                  <w:shd w:val="clear" w:color="auto" w:fill="auto"/>
                  <w:noWrap/>
                  <w:vAlign w:val="bottom"/>
                  <w:hideMark/>
                </w:tcPr>
                <w:p w:rsidR="0046047A" w:rsidRPr="0046047A" w:rsidRDefault="009F32AF" w:rsidP="009F32AF">
                  <w:pPr>
                    <w:jc w:val="center"/>
                    <w:rPr>
                      <w:rFonts w:ascii="Arial" w:hAnsi="Arial" w:cs="Arial"/>
                      <w:color w:val="000000"/>
                      <w:szCs w:val="24"/>
                    </w:rPr>
                  </w:pPr>
                  <w:r>
                    <w:rPr>
                      <w:rFonts w:ascii="Arial" w:hAnsi="Arial" w:cs="Arial"/>
                      <w:color w:val="000000"/>
                      <w:szCs w:val="24"/>
                    </w:rPr>
                    <w:t>£</w:t>
                  </w:r>
                  <w:r w:rsidR="0046047A" w:rsidRPr="0046047A">
                    <w:rPr>
                      <w:rFonts w:ascii="Arial" w:hAnsi="Arial" w:cs="Arial"/>
                      <w:color w:val="000000"/>
                      <w:szCs w:val="24"/>
                    </w:rPr>
                    <w:t>22,415</w:t>
                  </w:r>
                </w:p>
              </w:tc>
            </w:tr>
          </w:tbl>
          <w:p w:rsidR="0046047A" w:rsidRDefault="0046047A" w:rsidP="007B1A63">
            <w:pPr>
              <w:autoSpaceDE w:val="0"/>
              <w:autoSpaceDN w:val="0"/>
              <w:adjustRightInd w:val="0"/>
              <w:jc w:val="both"/>
              <w:rPr>
                <w:rFonts w:ascii="Arial" w:hAnsi="Arial" w:cs="Arial"/>
              </w:rPr>
            </w:pPr>
          </w:p>
          <w:p w:rsidR="0046047A" w:rsidRDefault="0046047A" w:rsidP="007B1A63">
            <w:pPr>
              <w:autoSpaceDE w:val="0"/>
              <w:autoSpaceDN w:val="0"/>
              <w:adjustRightInd w:val="0"/>
              <w:jc w:val="both"/>
              <w:rPr>
                <w:rFonts w:ascii="Arial" w:hAnsi="Arial" w:cs="Arial"/>
              </w:rPr>
            </w:pPr>
            <w:r>
              <w:rPr>
                <w:rFonts w:ascii="Arial" w:hAnsi="Arial" w:cs="Arial"/>
              </w:rPr>
              <w:t>*</w:t>
            </w:r>
            <w:r w:rsidR="009F32AF">
              <w:rPr>
                <w:rFonts w:ascii="Arial" w:hAnsi="Arial" w:cs="Arial"/>
              </w:rPr>
              <w:t>2014 occupancy rate.</w:t>
            </w:r>
          </w:p>
          <w:p w:rsidR="0046047A" w:rsidRPr="00AB2E22" w:rsidRDefault="0046047A" w:rsidP="007B1A63">
            <w:pPr>
              <w:autoSpaceDE w:val="0"/>
              <w:autoSpaceDN w:val="0"/>
              <w:adjustRightInd w:val="0"/>
              <w:jc w:val="both"/>
              <w:rPr>
                <w:rFonts w:ascii="Arial" w:hAnsi="Arial" w:cs="Arial"/>
              </w:rPr>
            </w:pPr>
          </w:p>
        </w:tc>
      </w:tr>
      <w:tr w:rsidR="00AB2E22" w:rsidRPr="00AB2E22">
        <w:tc>
          <w:tcPr>
            <w:tcW w:w="817" w:type="dxa"/>
          </w:tcPr>
          <w:p w:rsidR="00AB2E22" w:rsidRPr="00AB2E22" w:rsidRDefault="009F32AF" w:rsidP="00590C36">
            <w:pPr>
              <w:autoSpaceDE w:val="0"/>
              <w:autoSpaceDN w:val="0"/>
              <w:adjustRightInd w:val="0"/>
              <w:rPr>
                <w:rFonts w:ascii="Arial" w:hAnsi="Arial" w:cs="Arial"/>
              </w:rPr>
            </w:pPr>
            <w:r>
              <w:rPr>
                <w:rFonts w:ascii="Arial" w:hAnsi="Arial" w:cs="Arial"/>
              </w:rPr>
              <w:t>3.4</w:t>
            </w:r>
          </w:p>
        </w:tc>
        <w:tc>
          <w:tcPr>
            <w:tcW w:w="8647" w:type="dxa"/>
          </w:tcPr>
          <w:p w:rsidR="00AB2E22" w:rsidRDefault="009F32AF" w:rsidP="00590C36">
            <w:pPr>
              <w:autoSpaceDE w:val="0"/>
              <w:autoSpaceDN w:val="0"/>
              <w:adjustRightInd w:val="0"/>
              <w:jc w:val="both"/>
              <w:rPr>
                <w:rFonts w:ascii="Arial" w:hAnsi="Arial" w:cs="Arial"/>
              </w:rPr>
            </w:pPr>
            <w:r>
              <w:rPr>
                <w:rFonts w:ascii="Arial" w:hAnsi="Arial" w:cs="Arial"/>
              </w:rPr>
              <w:t xml:space="preserve">Charges for 2015 were retained at the previous rates set by THC because the majority of bookings had been made prior to the facility transferring to the management of HLH. For 2016 </w:t>
            </w:r>
            <w:r w:rsidR="00264850">
              <w:rPr>
                <w:rFonts w:ascii="Arial" w:hAnsi="Arial" w:cs="Arial"/>
              </w:rPr>
              <w:t xml:space="preserve">it is planned to increase the charges </w:t>
            </w:r>
            <w:r>
              <w:rPr>
                <w:rFonts w:ascii="Arial" w:hAnsi="Arial" w:cs="Arial"/>
              </w:rPr>
              <w:t>as follows:</w:t>
            </w:r>
          </w:p>
          <w:p w:rsidR="009F32AF" w:rsidRDefault="009F32AF" w:rsidP="00590C36">
            <w:pPr>
              <w:autoSpaceDE w:val="0"/>
              <w:autoSpaceDN w:val="0"/>
              <w:adjustRightInd w:val="0"/>
              <w:jc w:val="both"/>
              <w:rPr>
                <w:rFonts w:ascii="Arial" w:hAnsi="Arial" w:cs="Arial"/>
              </w:rPr>
            </w:pPr>
          </w:p>
          <w:tbl>
            <w:tblPr>
              <w:tblStyle w:val="TableGrid"/>
              <w:tblW w:w="0" w:type="auto"/>
              <w:tblLayout w:type="fixed"/>
              <w:tblLook w:val="04A0" w:firstRow="1" w:lastRow="0" w:firstColumn="1" w:lastColumn="0" w:noHBand="0" w:noVBand="1"/>
            </w:tblPr>
            <w:tblGrid>
              <w:gridCol w:w="2805"/>
              <w:gridCol w:w="2805"/>
              <w:gridCol w:w="2806"/>
            </w:tblGrid>
            <w:tr w:rsidR="009F32AF" w:rsidTr="009F32AF">
              <w:tc>
                <w:tcPr>
                  <w:tcW w:w="2805" w:type="dxa"/>
                </w:tcPr>
                <w:p w:rsidR="009F32AF" w:rsidRPr="009F32AF" w:rsidRDefault="009F32AF" w:rsidP="00BA52C7">
                  <w:pPr>
                    <w:autoSpaceDE w:val="0"/>
                    <w:autoSpaceDN w:val="0"/>
                    <w:adjustRightInd w:val="0"/>
                    <w:jc w:val="center"/>
                    <w:rPr>
                      <w:rFonts w:ascii="Arial" w:hAnsi="Arial" w:cs="Arial"/>
                      <w:b/>
                    </w:rPr>
                  </w:pPr>
                </w:p>
              </w:tc>
              <w:tc>
                <w:tcPr>
                  <w:tcW w:w="2805" w:type="dxa"/>
                </w:tcPr>
                <w:p w:rsidR="009F32AF" w:rsidRPr="009F32AF" w:rsidRDefault="009F32AF" w:rsidP="00BA52C7">
                  <w:pPr>
                    <w:autoSpaceDE w:val="0"/>
                    <w:autoSpaceDN w:val="0"/>
                    <w:adjustRightInd w:val="0"/>
                    <w:jc w:val="center"/>
                    <w:rPr>
                      <w:rFonts w:ascii="Arial" w:hAnsi="Arial" w:cs="Arial"/>
                      <w:b/>
                    </w:rPr>
                  </w:pPr>
                  <w:r w:rsidRPr="009F32AF">
                    <w:rPr>
                      <w:rFonts w:ascii="Arial" w:hAnsi="Arial" w:cs="Arial"/>
                      <w:b/>
                    </w:rPr>
                    <w:t>2015 charge</w:t>
                  </w:r>
                </w:p>
              </w:tc>
              <w:tc>
                <w:tcPr>
                  <w:tcW w:w="2806" w:type="dxa"/>
                </w:tcPr>
                <w:p w:rsidR="009F32AF" w:rsidRPr="009F32AF" w:rsidRDefault="009F32AF" w:rsidP="00BA52C7">
                  <w:pPr>
                    <w:autoSpaceDE w:val="0"/>
                    <w:autoSpaceDN w:val="0"/>
                    <w:adjustRightInd w:val="0"/>
                    <w:jc w:val="center"/>
                    <w:rPr>
                      <w:rFonts w:ascii="Arial" w:hAnsi="Arial" w:cs="Arial"/>
                      <w:b/>
                    </w:rPr>
                  </w:pPr>
                  <w:r w:rsidRPr="009F32AF">
                    <w:rPr>
                      <w:rFonts w:ascii="Arial" w:hAnsi="Arial" w:cs="Arial"/>
                      <w:b/>
                    </w:rPr>
                    <w:t>2016 charge</w:t>
                  </w:r>
                </w:p>
              </w:tc>
            </w:tr>
            <w:tr w:rsidR="009F32AF" w:rsidTr="009F32AF">
              <w:tc>
                <w:tcPr>
                  <w:tcW w:w="2805" w:type="dxa"/>
                </w:tcPr>
                <w:p w:rsidR="009F32AF" w:rsidRDefault="009F32AF" w:rsidP="00B5469D">
                  <w:pPr>
                    <w:autoSpaceDE w:val="0"/>
                    <w:autoSpaceDN w:val="0"/>
                    <w:adjustRightInd w:val="0"/>
                    <w:jc w:val="center"/>
                    <w:rPr>
                      <w:rFonts w:ascii="Arial" w:hAnsi="Arial" w:cs="Arial"/>
                    </w:rPr>
                  </w:pPr>
                  <w:r>
                    <w:rPr>
                      <w:rFonts w:ascii="Arial" w:hAnsi="Arial" w:cs="Arial"/>
                    </w:rPr>
                    <w:t xml:space="preserve">Standard </w:t>
                  </w:r>
                  <w:r w:rsidR="00BA52C7">
                    <w:rPr>
                      <w:rFonts w:ascii="Arial" w:hAnsi="Arial" w:cs="Arial"/>
                    </w:rPr>
                    <w:t>c</w:t>
                  </w:r>
                  <w:r>
                    <w:rPr>
                      <w:rFonts w:ascii="Arial" w:hAnsi="Arial" w:cs="Arial"/>
                    </w:rPr>
                    <w:t>harge</w:t>
                  </w:r>
                  <w:r w:rsidR="00BA52C7">
                    <w:rPr>
                      <w:rFonts w:ascii="Arial" w:hAnsi="Arial" w:cs="Arial"/>
                    </w:rPr>
                    <w:t xml:space="preserve"> (</w:t>
                  </w:r>
                  <w:r w:rsidR="00B5469D">
                    <w:rPr>
                      <w:rFonts w:ascii="Arial" w:hAnsi="Arial" w:cs="Arial"/>
                    </w:rPr>
                    <w:t>g</w:t>
                  </w:r>
                  <w:r w:rsidR="00BA52C7">
                    <w:rPr>
                      <w:rFonts w:ascii="Arial" w:hAnsi="Arial" w:cs="Arial"/>
                    </w:rPr>
                    <w:t xml:space="preserve">roups of </w:t>
                  </w:r>
                  <w:r w:rsidR="00B5469D">
                    <w:rPr>
                      <w:rFonts w:ascii="Arial" w:hAnsi="Arial" w:cs="Arial"/>
                    </w:rPr>
                    <w:t>a</w:t>
                  </w:r>
                  <w:r w:rsidR="00BA52C7">
                    <w:rPr>
                      <w:rFonts w:ascii="Arial" w:hAnsi="Arial" w:cs="Arial"/>
                    </w:rPr>
                    <w:t>dults)</w:t>
                  </w:r>
                </w:p>
              </w:tc>
              <w:tc>
                <w:tcPr>
                  <w:tcW w:w="2805" w:type="dxa"/>
                </w:tcPr>
                <w:p w:rsidR="009F32AF" w:rsidRDefault="009F32AF" w:rsidP="00BA52C7">
                  <w:pPr>
                    <w:autoSpaceDE w:val="0"/>
                    <w:autoSpaceDN w:val="0"/>
                    <w:adjustRightInd w:val="0"/>
                    <w:jc w:val="center"/>
                    <w:rPr>
                      <w:rFonts w:ascii="Arial" w:hAnsi="Arial" w:cs="Arial"/>
                    </w:rPr>
                  </w:pPr>
                  <w:r>
                    <w:rPr>
                      <w:rFonts w:ascii="Arial" w:hAnsi="Arial" w:cs="Arial"/>
                    </w:rPr>
                    <w:t>£90 plus electricity</w:t>
                  </w:r>
                </w:p>
              </w:tc>
              <w:tc>
                <w:tcPr>
                  <w:tcW w:w="2806" w:type="dxa"/>
                </w:tcPr>
                <w:p w:rsidR="009F32AF" w:rsidRDefault="009F32AF" w:rsidP="00B5469D">
                  <w:pPr>
                    <w:autoSpaceDE w:val="0"/>
                    <w:autoSpaceDN w:val="0"/>
                    <w:adjustRightInd w:val="0"/>
                    <w:jc w:val="center"/>
                    <w:rPr>
                      <w:rFonts w:ascii="Arial" w:hAnsi="Arial" w:cs="Arial"/>
                    </w:rPr>
                  </w:pPr>
                  <w:r>
                    <w:rPr>
                      <w:rFonts w:ascii="Arial" w:hAnsi="Arial" w:cs="Arial"/>
                    </w:rPr>
                    <w:t>£120</w:t>
                  </w:r>
                  <w:r w:rsidR="00B5469D">
                    <w:rPr>
                      <w:rFonts w:ascii="Arial" w:hAnsi="Arial" w:cs="Arial"/>
                    </w:rPr>
                    <w:t>*</w:t>
                  </w:r>
                </w:p>
              </w:tc>
            </w:tr>
            <w:tr w:rsidR="009F32AF" w:rsidTr="009F32AF">
              <w:tc>
                <w:tcPr>
                  <w:tcW w:w="2805" w:type="dxa"/>
                </w:tcPr>
                <w:p w:rsidR="009F32AF" w:rsidRDefault="009F32AF" w:rsidP="00B5469D">
                  <w:pPr>
                    <w:autoSpaceDE w:val="0"/>
                    <w:autoSpaceDN w:val="0"/>
                    <w:adjustRightInd w:val="0"/>
                    <w:jc w:val="center"/>
                    <w:rPr>
                      <w:rFonts w:ascii="Arial" w:hAnsi="Arial" w:cs="Arial"/>
                    </w:rPr>
                  </w:pPr>
                  <w:r>
                    <w:rPr>
                      <w:rFonts w:ascii="Arial" w:hAnsi="Arial" w:cs="Arial"/>
                    </w:rPr>
                    <w:t>Concession</w:t>
                  </w:r>
                  <w:r w:rsidR="00BA52C7">
                    <w:rPr>
                      <w:rFonts w:ascii="Arial" w:hAnsi="Arial" w:cs="Arial"/>
                    </w:rPr>
                    <w:t xml:space="preserve"> (</w:t>
                  </w:r>
                  <w:r w:rsidR="00B5469D">
                    <w:rPr>
                      <w:rFonts w:ascii="Arial" w:hAnsi="Arial" w:cs="Arial"/>
                    </w:rPr>
                    <w:t>c</w:t>
                  </w:r>
                  <w:r w:rsidR="00BA52C7">
                    <w:rPr>
                      <w:rFonts w:ascii="Arial" w:hAnsi="Arial" w:cs="Arial"/>
                    </w:rPr>
                    <w:t>hildren and youth groups)</w:t>
                  </w:r>
                </w:p>
              </w:tc>
              <w:tc>
                <w:tcPr>
                  <w:tcW w:w="2805" w:type="dxa"/>
                </w:tcPr>
                <w:p w:rsidR="009F32AF" w:rsidRDefault="009F32AF" w:rsidP="00BA52C7">
                  <w:pPr>
                    <w:autoSpaceDE w:val="0"/>
                    <w:autoSpaceDN w:val="0"/>
                    <w:adjustRightInd w:val="0"/>
                    <w:jc w:val="center"/>
                    <w:rPr>
                      <w:rFonts w:ascii="Arial" w:hAnsi="Arial" w:cs="Arial"/>
                    </w:rPr>
                  </w:pPr>
                  <w:r>
                    <w:rPr>
                      <w:rFonts w:ascii="Arial" w:hAnsi="Arial" w:cs="Arial"/>
                    </w:rPr>
                    <w:t>£45 plus electricity</w:t>
                  </w:r>
                </w:p>
              </w:tc>
              <w:tc>
                <w:tcPr>
                  <w:tcW w:w="2806" w:type="dxa"/>
                </w:tcPr>
                <w:p w:rsidR="009F32AF" w:rsidRDefault="009F32AF" w:rsidP="00B5469D">
                  <w:pPr>
                    <w:autoSpaceDE w:val="0"/>
                    <w:autoSpaceDN w:val="0"/>
                    <w:adjustRightInd w:val="0"/>
                    <w:jc w:val="center"/>
                    <w:rPr>
                      <w:rFonts w:ascii="Arial" w:hAnsi="Arial" w:cs="Arial"/>
                    </w:rPr>
                  </w:pPr>
                  <w:r>
                    <w:rPr>
                      <w:rFonts w:ascii="Arial" w:hAnsi="Arial" w:cs="Arial"/>
                    </w:rPr>
                    <w:t>£60</w:t>
                  </w:r>
                  <w:r w:rsidR="00B5469D">
                    <w:rPr>
                      <w:rFonts w:ascii="Arial" w:hAnsi="Arial" w:cs="Arial"/>
                    </w:rPr>
                    <w:t>*</w:t>
                  </w:r>
                </w:p>
              </w:tc>
            </w:tr>
            <w:tr w:rsidR="009F32AF" w:rsidTr="009F32AF">
              <w:tc>
                <w:tcPr>
                  <w:tcW w:w="2805" w:type="dxa"/>
                </w:tcPr>
                <w:p w:rsidR="009F32AF" w:rsidRDefault="009F32AF" w:rsidP="00BA52C7">
                  <w:pPr>
                    <w:autoSpaceDE w:val="0"/>
                    <w:autoSpaceDN w:val="0"/>
                    <w:adjustRightInd w:val="0"/>
                    <w:jc w:val="center"/>
                    <w:rPr>
                      <w:rFonts w:ascii="Arial" w:hAnsi="Arial" w:cs="Arial"/>
                    </w:rPr>
                  </w:pPr>
                  <w:r>
                    <w:rPr>
                      <w:rFonts w:ascii="Arial" w:hAnsi="Arial" w:cs="Arial"/>
                    </w:rPr>
                    <w:t>“Commercial”</w:t>
                  </w:r>
                </w:p>
              </w:tc>
              <w:tc>
                <w:tcPr>
                  <w:tcW w:w="2805" w:type="dxa"/>
                </w:tcPr>
                <w:p w:rsidR="009F32AF" w:rsidRDefault="009F32AF" w:rsidP="00B5469D">
                  <w:pPr>
                    <w:autoSpaceDE w:val="0"/>
                    <w:autoSpaceDN w:val="0"/>
                    <w:adjustRightInd w:val="0"/>
                    <w:jc w:val="center"/>
                    <w:rPr>
                      <w:rFonts w:ascii="Arial" w:hAnsi="Arial" w:cs="Arial"/>
                    </w:rPr>
                  </w:pPr>
                  <w:r>
                    <w:rPr>
                      <w:rFonts w:ascii="Arial" w:hAnsi="Arial" w:cs="Arial"/>
                    </w:rPr>
                    <w:t>£180</w:t>
                  </w:r>
                </w:p>
              </w:tc>
              <w:tc>
                <w:tcPr>
                  <w:tcW w:w="2806" w:type="dxa"/>
                </w:tcPr>
                <w:p w:rsidR="009F32AF" w:rsidRDefault="009F32AF" w:rsidP="00B5469D">
                  <w:pPr>
                    <w:autoSpaceDE w:val="0"/>
                    <w:autoSpaceDN w:val="0"/>
                    <w:adjustRightInd w:val="0"/>
                    <w:jc w:val="center"/>
                    <w:rPr>
                      <w:rFonts w:ascii="Arial" w:hAnsi="Arial" w:cs="Arial"/>
                    </w:rPr>
                  </w:pPr>
                  <w:r>
                    <w:rPr>
                      <w:rFonts w:ascii="Arial" w:hAnsi="Arial" w:cs="Arial"/>
                    </w:rPr>
                    <w:t>£240</w:t>
                  </w:r>
                  <w:r w:rsidR="00575C67">
                    <w:rPr>
                      <w:rFonts w:ascii="Arial" w:hAnsi="Arial" w:cs="Arial"/>
                    </w:rPr>
                    <w:t>*</w:t>
                  </w:r>
                </w:p>
              </w:tc>
            </w:tr>
          </w:tbl>
          <w:p w:rsidR="009F32AF" w:rsidRDefault="009F32AF" w:rsidP="00BA52C7">
            <w:pPr>
              <w:autoSpaceDE w:val="0"/>
              <w:autoSpaceDN w:val="0"/>
              <w:adjustRightInd w:val="0"/>
              <w:rPr>
                <w:rFonts w:ascii="Arial" w:hAnsi="Arial" w:cs="Arial"/>
              </w:rPr>
            </w:pPr>
          </w:p>
          <w:p w:rsidR="00B5469D" w:rsidRDefault="00B5469D" w:rsidP="00BA52C7">
            <w:pPr>
              <w:autoSpaceDE w:val="0"/>
              <w:autoSpaceDN w:val="0"/>
              <w:adjustRightInd w:val="0"/>
              <w:rPr>
                <w:rFonts w:ascii="Arial" w:hAnsi="Arial" w:cs="Arial"/>
              </w:rPr>
            </w:pPr>
            <w:r>
              <w:rPr>
                <w:rFonts w:ascii="Arial" w:hAnsi="Arial" w:cs="Arial"/>
              </w:rPr>
              <w:t>*no additional electricity charge</w:t>
            </w:r>
          </w:p>
          <w:p w:rsidR="009F32AF" w:rsidRDefault="009F32AF" w:rsidP="00590C36">
            <w:pPr>
              <w:autoSpaceDE w:val="0"/>
              <w:autoSpaceDN w:val="0"/>
              <w:adjustRightInd w:val="0"/>
              <w:jc w:val="both"/>
              <w:rPr>
                <w:rFonts w:ascii="Arial" w:hAnsi="Arial" w:cs="Arial"/>
              </w:rPr>
            </w:pPr>
          </w:p>
          <w:p w:rsidR="006702D2" w:rsidRPr="00AB2E22" w:rsidRDefault="006702D2" w:rsidP="00590C36">
            <w:pPr>
              <w:autoSpaceDE w:val="0"/>
              <w:autoSpaceDN w:val="0"/>
              <w:adjustRightInd w:val="0"/>
              <w:jc w:val="both"/>
              <w:rPr>
                <w:rFonts w:ascii="Arial" w:hAnsi="Arial" w:cs="Arial"/>
              </w:rPr>
            </w:pPr>
          </w:p>
        </w:tc>
      </w:tr>
      <w:tr w:rsidR="00AB2E22" w:rsidRPr="009F32AF">
        <w:tc>
          <w:tcPr>
            <w:tcW w:w="817" w:type="dxa"/>
          </w:tcPr>
          <w:p w:rsidR="00AB2E22" w:rsidRPr="009F32AF" w:rsidRDefault="009F32AF" w:rsidP="00590C36">
            <w:pPr>
              <w:autoSpaceDE w:val="0"/>
              <w:autoSpaceDN w:val="0"/>
              <w:adjustRightInd w:val="0"/>
              <w:rPr>
                <w:rFonts w:ascii="Arial" w:hAnsi="Arial" w:cs="Arial"/>
                <w:b/>
                <w:szCs w:val="24"/>
              </w:rPr>
            </w:pPr>
            <w:r w:rsidRPr="009F32AF">
              <w:rPr>
                <w:rFonts w:ascii="Arial" w:hAnsi="Arial" w:cs="Arial"/>
                <w:b/>
                <w:szCs w:val="24"/>
              </w:rPr>
              <w:lastRenderedPageBreak/>
              <w:t xml:space="preserve">4. </w:t>
            </w:r>
          </w:p>
        </w:tc>
        <w:tc>
          <w:tcPr>
            <w:tcW w:w="8647" w:type="dxa"/>
          </w:tcPr>
          <w:p w:rsidR="00AB2E22" w:rsidRDefault="009F32AF" w:rsidP="00590C36">
            <w:pPr>
              <w:autoSpaceDE w:val="0"/>
              <w:autoSpaceDN w:val="0"/>
              <w:adjustRightInd w:val="0"/>
              <w:jc w:val="both"/>
              <w:rPr>
                <w:rFonts w:ascii="Arial" w:hAnsi="Arial" w:cs="Arial"/>
                <w:b/>
                <w:szCs w:val="24"/>
              </w:rPr>
            </w:pPr>
            <w:r w:rsidRPr="009F32AF">
              <w:rPr>
                <w:rFonts w:ascii="Arial" w:hAnsi="Arial" w:cs="Arial"/>
                <w:b/>
                <w:szCs w:val="24"/>
              </w:rPr>
              <w:t>Improvement Costs</w:t>
            </w:r>
          </w:p>
          <w:p w:rsidR="00BA52C7" w:rsidRPr="009F32AF" w:rsidRDefault="00BA52C7" w:rsidP="00590C36">
            <w:pPr>
              <w:autoSpaceDE w:val="0"/>
              <w:autoSpaceDN w:val="0"/>
              <w:adjustRightInd w:val="0"/>
              <w:jc w:val="both"/>
              <w:rPr>
                <w:rFonts w:ascii="Arial" w:hAnsi="Arial" w:cs="Arial"/>
                <w:b/>
                <w:szCs w:val="24"/>
              </w:rPr>
            </w:pPr>
          </w:p>
        </w:tc>
      </w:tr>
      <w:tr w:rsidR="00AB2E22" w:rsidRPr="009F32AF">
        <w:tc>
          <w:tcPr>
            <w:tcW w:w="817" w:type="dxa"/>
          </w:tcPr>
          <w:p w:rsidR="00AB2E22" w:rsidRPr="009F32AF" w:rsidRDefault="00BA52C7" w:rsidP="00590C36">
            <w:pPr>
              <w:autoSpaceDE w:val="0"/>
              <w:autoSpaceDN w:val="0"/>
              <w:adjustRightInd w:val="0"/>
              <w:rPr>
                <w:rFonts w:ascii="Arial" w:hAnsi="Arial" w:cs="Arial"/>
                <w:szCs w:val="24"/>
              </w:rPr>
            </w:pPr>
            <w:r>
              <w:rPr>
                <w:rFonts w:ascii="Arial" w:hAnsi="Arial" w:cs="Arial"/>
                <w:szCs w:val="24"/>
              </w:rPr>
              <w:t>4.1</w:t>
            </w:r>
          </w:p>
        </w:tc>
        <w:tc>
          <w:tcPr>
            <w:tcW w:w="8647" w:type="dxa"/>
          </w:tcPr>
          <w:p w:rsidR="00AB2E22" w:rsidRDefault="009A73B1" w:rsidP="009A73B1">
            <w:pPr>
              <w:autoSpaceDE w:val="0"/>
              <w:autoSpaceDN w:val="0"/>
              <w:adjustRightInd w:val="0"/>
              <w:jc w:val="both"/>
              <w:rPr>
                <w:rFonts w:ascii="Arial" w:hAnsi="Arial" w:cs="Arial"/>
                <w:szCs w:val="24"/>
              </w:rPr>
            </w:pPr>
            <w:r>
              <w:rPr>
                <w:rFonts w:ascii="Arial" w:hAnsi="Arial" w:cs="Arial"/>
                <w:b/>
                <w:szCs w:val="24"/>
              </w:rPr>
              <w:t xml:space="preserve">Appendix B </w:t>
            </w:r>
            <w:r>
              <w:rPr>
                <w:rFonts w:ascii="Arial" w:hAnsi="Arial" w:cs="Arial"/>
                <w:szCs w:val="24"/>
              </w:rPr>
              <w:t xml:space="preserve">contains an architect’s drawing for a refurbishment of the facility. It includes replacing the </w:t>
            </w:r>
            <w:r w:rsidR="00E419BF">
              <w:rPr>
                <w:rFonts w:ascii="Arial" w:hAnsi="Arial" w:cs="Arial"/>
                <w:szCs w:val="24"/>
              </w:rPr>
              <w:t xml:space="preserve">existing </w:t>
            </w:r>
            <w:r>
              <w:rPr>
                <w:rFonts w:ascii="Arial" w:hAnsi="Arial" w:cs="Arial"/>
                <w:szCs w:val="24"/>
              </w:rPr>
              <w:t xml:space="preserve">extension to the original building. Cost estimates are in </w:t>
            </w:r>
            <w:r>
              <w:rPr>
                <w:rFonts w:ascii="Arial" w:hAnsi="Arial" w:cs="Arial"/>
                <w:b/>
                <w:szCs w:val="24"/>
              </w:rPr>
              <w:t xml:space="preserve">Appendix C </w:t>
            </w:r>
            <w:r w:rsidRPr="009A73B1">
              <w:rPr>
                <w:rFonts w:ascii="Arial" w:hAnsi="Arial" w:cs="Arial"/>
                <w:szCs w:val="24"/>
              </w:rPr>
              <w:t>and would vary</w:t>
            </w:r>
            <w:r>
              <w:rPr>
                <w:rFonts w:ascii="Arial" w:hAnsi="Arial" w:cs="Arial"/>
                <w:szCs w:val="24"/>
              </w:rPr>
              <w:t xml:space="preserve"> depending on the work undertaken</w:t>
            </w:r>
            <w:r w:rsidR="006563C5">
              <w:rPr>
                <w:rFonts w:ascii="Arial" w:hAnsi="Arial" w:cs="Arial"/>
                <w:szCs w:val="24"/>
              </w:rPr>
              <w:t>.</w:t>
            </w:r>
            <w:r>
              <w:rPr>
                <w:rFonts w:ascii="Arial" w:hAnsi="Arial" w:cs="Arial"/>
                <w:szCs w:val="24"/>
              </w:rPr>
              <w:t xml:space="preserve"> </w:t>
            </w:r>
            <w:r w:rsidR="00A13BBF">
              <w:rPr>
                <w:rFonts w:ascii="Arial" w:hAnsi="Arial" w:cs="Arial"/>
                <w:szCs w:val="24"/>
              </w:rPr>
              <w:t>A full refurbishment of the</w:t>
            </w:r>
            <w:r w:rsidR="00787413">
              <w:rPr>
                <w:rFonts w:ascii="Arial" w:hAnsi="Arial" w:cs="Arial"/>
                <w:szCs w:val="24"/>
              </w:rPr>
              <w:t xml:space="preserve"> building including replacing </w:t>
            </w:r>
            <w:r w:rsidR="00A13BBF">
              <w:rPr>
                <w:rFonts w:ascii="Arial" w:hAnsi="Arial" w:cs="Arial"/>
                <w:szCs w:val="24"/>
              </w:rPr>
              <w:t>the extension to the building is estimated to cost in the region of £450K</w:t>
            </w:r>
            <w:r w:rsidR="009511A2">
              <w:rPr>
                <w:rFonts w:ascii="Arial" w:hAnsi="Arial" w:cs="Arial"/>
                <w:szCs w:val="24"/>
              </w:rPr>
              <w:t>.</w:t>
            </w:r>
          </w:p>
          <w:p w:rsidR="009A73B1" w:rsidRPr="009A73B1" w:rsidRDefault="009A73B1" w:rsidP="009A73B1">
            <w:pPr>
              <w:autoSpaceDE w:val="0"/>
              <w:autoSpaceDN w:val="0"/>
              <w:adjustRightInd w:val="0"/>
              <w:jc w:val="both"/>
              <w:rPr>
                <w:rFonts w:ascii="Arial" w:hAnsi="Arial" w:cs="Arial"/>
                <w:szCs w:val="24"/>
              </w:rPr>
            </w:pPr>
          </w:p>
        </w:tc>
      </w:tr>
      <w:tr w:rsidR="00AB2E22" w:rsidRPr="009F32AF">
        <w:tc>
          <w:tcPr>
            <w:tcW w:w="817" w:type="dxa"/>
          </w:tcPr>
          <w:p w:rsidR="00AB2E22" w:rsidRPr="009F32AF" w:rsidRDefault="009A73B1" w:rsidP="00590C36">
            <w:pPr>
              <w:autoSpaceDE w:val="0"/>
              <w:autoSpaceDN w:val="0"/>
              <w:adjustRightInd w:val="0"/>
              <w:rPr>
                <w:rFonts w:ascii="Arial" w:hAnsi="Arial" w:cs="Arial"/>
                <w:szCs w:val="24"/>
              </w:rPr>
            </w:pPr>
            <w:r>
              <w:rPr>
                <w:rFonts w:ascii="Arial" w:hAnsi="Arial" w:cs="Arial"/>
                <w:szCs w:val="24"/>
              </w:rPr>
              <w:t>4.2</w:t>
            </w:r>
          </w:p>
        </w:tc>
        <w:tc>
          <w:tcPr>
            <w:tcW w:w="8647" w:type="dxa"/>
          </w:tcPr>
          <w:p w:rsidR="00AB2E22" w:rsidRDefault="009A73B1" w:rsidP="00590C36">
            <w:pPr>
              <w:autoSpaceDE w:val="0"/>
              <w:autoSpaceDN w:val="0"/>
              <w:adjustRightInd w:val="0"/>
              <w:jc w:val="both"/>
              <w:rPr>
                <w:rFonts w:ascii="Arial" w:hAnsi="Arial" w:cs="Arial"/>
                <w:szCs w:val="24"/>
              </w:rPr>
            </w:pPr>
            <w:r>
              <w:rPr>
                <w:rFonts w:ascii="Arial" w:hAnsi="Arial" w:cs="Arial"/>
                <w:szCs w:val="24"/>
              </w:rPr>
              <w:t xml:space="preserve">As referred to above, the </w:t>
            </w:r>
            <w:r w:rsidR="00E419BF">
              <w:rPr>
                <w:rFonts w:ascii="Arial" w:hAnsi="Arial" w:cs="Arial"/>
                <w:szCs w:val="24"/>
              </w:rPr>
              <w:t xml:space="preserve">Board </w:t>
            </w:r>
            <w:r>
              <w:rPr>
                <w:rFonts w:ascii="Arial" w:hAnsi="Arial" w:cs="Arial"/>
                <w:szCs w:val="24"/>
              </w:rPr>
              <w:t>decision at the June</w:t>
            </w:r>
            <w:r w:rsidR="00E419BF">
              <w:rPr>
                <w:rFonts w:ascii="Arial" w:hAnsi="Arial" w:cs="Arial"/>
                <w:szCs w:val="24"/>
              </w:rPr>
              <w:t xml:space="preserve"> 2015</w:t>
            </w:r>
            <w:r>
              <w:rPr>
                <w:rFonts w:ascii="Arial" w:hAnsi="Arial" w:cs="Arial"/>
                <w:szCs w:val="24"/>
              </w:rPr>
              <w:t xml:space="preserve"> meeting was to place the facility on the Council’s planned and cyclical maintenance programme for 2016. This will be done, subject to agreement with THC, with internal redecoration and new floor coverings being the immediate priority. </w:t>
            </w:r>
          </w:p>
          <w:p w:rsidR="009A73B1" w:rsidRPr="009F32AF" w:rsidRDefault="009A73B1" w:rsidP="00590C36">
            <w:pPr>
              <w:autoSpaceDE w:val="0"/>
              <w:autoSpaceDN w:val="0"/>
              <w:adjustRightInd w:val="0"/>
              <w:jc w:val="both"/>
              <w:rPr>
                <w:rFonts w:ascii="Arial" w:hAnsi="Arial" w:cs="Arial"/>
                <w:szCs w:val="24"/>
              </w:rPr>
            </w:pPr>
          </w:p>
        </w:tc>
      </w:tr>
      <w:tr w:rsidR="00AB2E22" w:rsidRPr="009F32AF">
        <w:tc>
          <w:tcPr>
            <w:tcW w:w="817" w:type="dxa"/>
          </w:tcPr>
          <w:p w:rsidR="00AB2E22" w:rsidRPr="009F32AF" w:rsidRDefault="009A73B1" w:rsidP="00590C36">
            <w:pPr>
              <w:autoSpaceDE w:val="0"/>
              <w:autoSpaceDN w:val="0"/>
              <w:adjustRightInd w:val="0"/>
              <w:rPr>
                <w:rFonts w:ascii="Arial" w:hAnsi="Arial" w:cs="Arial"/>
                <w:szCs w:val="24"/>
              </w:rPr>
            </w:pPr>
            <w:r>
              <w:rPr>
                <w:rFonts w:ascii="Arial" w:hAnsi="Arial" w:cs="Arial"/>
                <w:szCs w:val="24"/>
              </w:rPr>
              <w:t>4.3</w:t>
            </w:r>
          </w:p>
        </w:tc>
        <w:tc>
          <w:tcPr>
            <w:tcW w:w="8647" w:type="dxa"/>
          </w:tcPr>
          <w:p w:rsidR="009511A2" w:rsidRDefault="009511A2" w:rsidP="00590C36">
            <w:pPr>
              <w:autoSpaceDE w:val="0"/>
              <w:autoSpaceDN w:val="0"/>
              <w:adjustRightInd w:val="0"/>
              <w:jc w:val="both"/>
              <w:rPr>
                <w:rFonts w:ascii="Arial" w:hAnsi="Arial" w:cs="Arial"/>
                <w:szCs w:val="24"/>
              </w:rPr>
            </w:pPr>
            <w:r>
              <w:rPr>
                <w:rFonts w:ascii="Arial" w:hAnsi="Arial" w:cs="Arial"/>
                <w:szCs w:val="24"/>
              </w:rPr>
              <w:t xml:space="preserve">Should the </w:t>
            </w:r>
            <w:r w:rsidR="00E419BF">
              <w:rPr>
                <w:rFonts w:ascii="Arial" w:hAnsi="Arial" w:cs="Arial"/>
                <w:szCs w:val="24"/>
              </w:rPr>
              <w:t xml:space="preserve">Board </w:t>
            </w:r>
            <w:r>
              <w:rPr>
                <w:rFonts w:ascii="Arial" w:hAnsi="Arial" w:cs="Arial"/>
                <w:szCs w:val="24"/>
              </w:rPr>
              <w:t>wish to see additional</w:t>
            </w:r>
            <w:r w:rsidR="00E419BF">
              <w:rPr>
                <w:rFonts w:ascii="Arial" w:hAnsi="Arial" w:cs="Arial"/>
                <w:szCs w:val="24"/>
              </w:rPr>
              <w:t xml:space="preserve"> (to the above)</w:t>
            </w:r>
            <w:r>
              <w:rPr>
                <w:rFonts w:ascii="Arial" w:hAnsi="Arial" w:cs="Arial"/>
                <w:szCs w:val="24"/>
              </w:rPr>
              <w:t xml:space="preserve"> improvements it could opt </w:t>
            </w:r>
            <w:r w:rsidR="00E419BF">
              <w:rPr>
                <w:rFonts w:ascii="Arial" w:hAnsi="Arial" w:cs="Arial"/>
                <w:szCs w:val="24"/>
              </w:rPr>
              <w:t xml:space="preserve">to </w:t>
            </w:r>
            <w:r>
              <w:rPr>
                <w:rFonts w:ascii="Arial" w:hAnsi="Arial" w:cs="Arial"/>
                <w:szCs w:val="24"/>
              </w:rPr>
              <w:t>adopt one or more of the following courses of action:</w:t>
            </w:r>
          </w:p>
          <w:p w:rsidR="006702D2" w:rsidRDefault="006702D2" w:rsidP="00590C36">
            <w:pPr>
              <w:autoSpaceDE w:val="0"/>
              <w:autoSpaceDN w:val="0"/>
              <w:adjustRightInd w:val="0"/>
              <w:jc w:val="both"/>
              <w:rPr>
                <w:rFonts w:ascii="Arial" w:hAnsi="Arial" w:cs="Arial"/>
                <w:szCs w:val="24"/>
              </w:rPr>
            </w:pPr>
          </w:p>
          <w:p w:rsidR="009511A2" w:rsidRPr="009511A2" w:rsidRDefault="006702D2" w:rsidP="00EA2034">
            <w:pPr>
              <w:pStyle w:val="ListParagraph"/>
              <w:numPr>
                <w:ilvl w:val="0"/>
                <w:numId w:val="5"/>
              </w:numPr>
              <w:autoSpaceDE w:val="0"/>
              <w:autoSpaceDN w:val="0"/>
              <w:adjustRightInd w:val="0"/>
              <w:spacing w:after="0"/>
              <w:ind w:left="459" w:hanging="99"/>
              <w:jc w:val="both"/>
              <w:rPr>
                <w:rFonts w:ascii="Arial" w:hAnsi="Arial" w:cs="Arial"/>
                <w:sz w:val="24"/>
                <w:szCs w:val="24"/>
              </w:rPr>
            </w:pPr>
            <w:proofErr w:type="gramStart"/>
            <w:r>
              <w:rPr>
                <w:rFonts w:ascii="Arial" w:hAnsi="Arial" w:cs="Arial"/>
                <w:sz w:val="24"/>
                <w:szCs w:val="24"/>
              </w:rPr>
              <w:t>s</w:t>
            </w:r>
            <w:r w:rsidR="009511A2" w:rsidRPr="009511A2">
              <w:rPr>
                <w:rFonts w:ascii="Arial" w:hAnsi="Arial" w:cs="Arial"/>
                <w:sz w:val="24"/>
                <w:szCs w:val="24"/>
              </w:rPr>
              <w:t>eek</w:t>
            </w:r>
            <w:proofErr w:type="gramEnd"/>
            <w:r w:rsidR="009511A2" w:rsidRPr="009511A2">
              <w:rPr>
                <w:rFonts w:ascii="Arial" w:hAnsi="Arial" w:cs="Arial"/>
                <w:sz w:val="24"/>
                <w:szCs w:val="24"/>
              </w:rPr>
              <w:t xml:space="preserve"> to allocate a </w:t>
            </w:r>
            <w:r w:rsidR="00E419BF">
              <w:rPr>
                <w:rFonts w:ascii="Arial" w:hAnsi="Arial" w:cs="Arial"/>
                <w:sz w:val="24"/>
                <w:szCs w:val="24"/>
              </w:rPr>
              <w:t>modest sum</w:t>
            </w:r>
            <w:r w:rsidR="009511A2" w:rsidRPr="009511A2">
              <w:rPr>
                <w:rFonts w:ascii="Arial" w:hAnsi="Arial" w:cs="Arial"/>
                <w:sz w:val="24"/>
                <w:szCs w:val="24"/>
              </w:rPr>
              <w:t>, say £100K from THC Community Learning and Leisure capital budget. This would have a minimal impact on the overall programme, possibly only delaying one of the other projects.</w:t>
            </w:r>
            <w:r w:rsidR="007C1889">
              <w:rPr>
                <w:rFonts w:ascii="Arial" w:hAnsi="Arial" w:cs="Arial"/>
                <w:sz w:val="24"/>
                <w:szCs w:val="24"/>
              </w:rPr>
              <w:t xml:space="preserve"> What could be achieved for this amount of funding can be seen in </w:t>
            </w:r>
            <w:r w:rsidR="007C1889">
              <w:rPr>
                <w:rFonts w:ascii="Arial" w:hAnsi="Arial" w:cs="Arial"/>
                <w:b/>
                <w:sz w:val="24"/>
                <w:szCs w:val="24"/>
              </w:rPr>
              <w:t xml:space="preserve">Appendix </w:t>
            </w:r>
            <w:proofErr w:type="gramStart"/>
            <w:r w:rsidR="007C1889">
              <w:rPr>
                <w:rFonts w:ascii="Arial" w:hAnsi="Arial" w:cs="Arial"/>
                <w:b/>
                <w:sz w:val="24"/>
                <w:szCs w:val="24"/>
              </w:rPr>
              <w:t>C</w:t>
            </w:r>
            <w:r w:rsidR="00E73985">
              <w:rPr>
                <w:rFonts w:ascii="Arial" w:hAnsi="Arial" w:cs="Arial"/>
                <w:sz w:val="24"/>
                <w:szCs w:val="24"/>
              </w:rPr>
              <w:t>.</w:t>
            </w:r>
            <w:proofErr w:type="gramEnd"/>
          </w:p>
          <w:p w:rsidR="009511A2" w:rsidRPr="009511A2" w:rsidRDefault="006702D2" w:rsidP="00EA2034">
            <w:pPr>
              <w:pStyle w:val="ListParagraph"/>
              <w:numPr>
                <w:ilvl w:val="0"/>
                <w:numId w:val="5"/>
              </w:numPr>
              <w:autoSpaceDE w:val="0"/>
              <w:autoSpaceDN w:val="0"/>
              <w:adjustRightInd w:val="0"/>
              <w:spacing w:after="0"/>
              <w:ind w:left="459" w:hanging="99"/>
              <w:jc w:val="both"/>
              <w:rPr>
                <w:rFonts w:ascii="Arial" w:hAnsi="Arial" w:cs="Arial"/>
                <w:sz w:val="24"/>
                <w:szCs w:val="24"/>
              </w:rPr>
            </w:pPr>
            <w:proofErr w:type="gramStart"/>
            <w:r>
              <w:rPr>
                <w:rFonts w:ascii="Arial" w:hAnsi="Arial" w:cs="Arial"/>
                <w:sz w:val="24"/>
                <w:szCs w:val="24"/>
              </w:rPr>
              <w:t>s</w:t>
            </w:r>
            <w:r w:rsidR="009511A2" w:rsidRPr="009511A2">
              <w:rPr>
                <w:rFonts w:ascii="Arial" w:hAnsi="Arial" w:cs="Arial"/>
                <w:sz w:val="24"/>
                <w:szCs w:val="24"/>
              </w:rPr>
              <w:t>eek</w:t>
            </w:r>
            <w:proofErr w:type="gramEnd"/>
            <w:r w:rsidR="009511A2" w:rsidRPr="009511A2">
              <w:rPr>
                <w:rFonts w:ascii="Arial" w:hAnsi="Arial" w:cs="Arial"/>
                <w:sz w:val="24"/>
                <w:szCs w:val="24"/>
              </w:rPr>
              <w:t xml:space="preserve"> to allocate a recurring amount of money from THC Community Learning and Leisure capital budget. This would have a similar but on-going impact as the above option. </w:t>
            </w:r>
          </w:p>
          <w:p w:rsidR="00AB2E22" w:rsidRPr="006702D2" w:rsidRDefault="006702D2" w:rsidP="00EA2034">
            <w:pPr>
              <w:pStyle w:val="ListParagraph"/>
              <w:numPr>
                <w:ilvl w:val="0"/>
                <w:numId w:val="5"/>
              </w:numPr>
              <w:autoSpaceDE w:val="0"/>
              <w:autoSpaceDN w:val="0"/>
              <w:adjustRightInd w:val="0"/>
              <w:spacing w:after="0"/>
              <w:ind w:left="459" w:hanging="99"/>
              <w:jc w:val="both"/>
              <w:rPr>
                <w:rFonts w:ascii="Arial" w:hAnsi="Arial" w:cs="Arial"/>
                <w:sz w:val="24"/>
                <w:szCs w:val="24"/>
              </w:rPr>
            </w:pPr>
            <w:proofErr w:type="gramStart"/>
            <w:r>
              <w:rPr>
                <w:rFonts w:ascii="Arial" w:hAnsi="Arial" w:cs="Arial"/>
                <w:sz w:val="24"/>
                <w:szCs w:val="24"/>
              </w:rPr>
              <w:t>s</w:t>
            </w:r>
            <w:r w:rsidR="009511A2" w:rsidRPr="009511A2">
              <w:rPr>
                <w:rFonts w:ascii="Arial" w:hAnsi="Arial" w:cs="Arial"/>
                <w:sz w:val="24"/>
                <w:szCs w:val="24"/>
              </w:rPr>
              <w:t>eek</w:t>
            </w:r>
            <w:proofErr w:type="gramEnd"/>
            <w:r w:rsidR="009511A2" w:rsidRPr="009511A2">
              <w:rPr>
                <w:rFonts w:ascii="Arial" w:hAnsi="Arial" w:cs="Arial"/>
                <w:sz w:val="24"/>
                <w:szCs w:val="24"/>
              </w:rPr>
              <w:t xml:space="preserve"> to allocate </w:t>
            </w:r>
            <w:r w:rsidR="009511A2">
              <w:rPr>
                <w:rFonts w:ascii="Arial" w:hAnsi="Arial" w:cs="Arial"/>
                <w:sz w:val="24"/>
                <w:szCs w:val="24"/>
              </w:rPr>
              <w:t>the full a</w:t>
            </w:r>
            <w:bookmarkStart w:id="0" w:name="_GoBack"/>
            <w:bookmarkEnd w:id="0"/>
            <w:r w:rsidR="009511A2">
              <w:rPr>
                <w:rFonts w:ascii="Arial" w:hAnsi="Arial" w:cs="Arial"/>
                <w:sz w:val="24"/>
                <w:szCs w:val="24"/>
              </w:rPr>
              <w:t xml:space="preserve">mount of funding required for a one-off refurbishment. This would have the most impact on the rest of the programme </w:t>
            </w:r>
            <w:r w:rsidR="00264850">
              <w:rPr>
                <w:rFonts w:ascii="Arial" w:hAnsi="Arial" w:cs="Arial"/>
                <w:sz w:val="24"/>
                <w:szCs w:val="24"/>
              </w:rPr>
              <w:t>and</w:t>
            </w:r>
            <w:r w:rsidR="009511A2">
              <w:rPr>
                <w:rFonts w:ascii="Arial" w:hAnsi="Arial" w:cs="Arial"/>
                <w:sz w:val="24"/>
                <w:szCs w:val="24"/>
              </w:rPr>
              <w:t xml:space="preserve"> there would </w:t>
            </w:r>
            <w:r w:rsidR="00E419BF">
              <w:rPr>
                <w:rFonts w:ascii="Arial" w:hAnsi="Arial" w:cs="Arial"/>
                <w:sz w:val="24"/>
                <w:szCs w:val="24"/>
              </w:rPr>
              <w:t xml:space="preserve">need to </w:t>
            </w:r>
            <w:r w:rsidR="009511A2">
              <w:rPr>
                <w:rFonts w:ascii="Arial" w:hAnsi="Arial" w:cs="Arial"/>
                <w:sz w:val="24"/>
                <w:szCs w:val="24"/>
              </w:rPr>
              <w:t xml:space="preserve">be flexibility over the financial year in which the funding was allocated. </w:t>
            </w:r>
            <w:r w:rsidR="009511A2" w:rsidRPr="009511A2">
              <w:rPr>
                <w:rFonts w:ascii="Arial" w:hAnsi="Arial" w:cs="Arial"/>
                <w:szCs w:val="24"/>
              </w:rPr>
              <w:t xml:space="preserve"> </w:t>
            </w:r>
          </w:p>
          <w:p w:rsidR="006702D2" w:rsidRPr="009511A2" w:rsidRDefault="006702D2" w:rsidP="006702D2">
            <w:pPr>
              <w:pStyle w:val="ListParagraph"/>
              <w:autoSpaceDE w:val="0"/>
              <w:autoSpaceDN w:val="0"/>
              <w:adjustRightInd w:val="0"/>
              <w:spacing w:after="0"/>
              <w:jc w:val="both"/>
              <w:rPr>
                <w:rFonts w:ascii="Arial" w:hAnsi="Arial" w:cs="Arial"/>
                <w:sz w:val="24"/>
                <w:szCs w:val="24"/>
              </w:rPr>
            </w:pPr>
          </w:p>
        </w:tc>
      </w:tr>
      <w:tr w:rsidR="00AB2E22" w:rsidRPr="009F32AF">
        <w:tc>
          <w:tcPr>
            <w:tcW w:w="817" w:type="dxa"/>
          </w:tcPr>
          <w:p w:rsidR="00AB2E22" w:rsidRPr="009F32AF" w:rsidRDefault="009511A2" w:rsidP="00590C36">
            <w:pPr>
              <w:autoSpaceDE w:val="0"/>
              <w:autoSpaceDN w:val="0"/>
              <w:adjustRightInd w:val="0"/>
              <w:rPr>
                <w:rFonts w:ascii="Arial" w:hAnsi="Arial" w:cs="Arial"/>
                <w:szCs w:val="24"/>
              </w:rPr>
            </w:pPr>
            <w:r>
              <w:rPr>
                <w:rFonts w:ascii="Arial" w:hAnsi="Arial" w:cs="Arial"/>
                <w:szCs w:val="24"/>
              </w:rPr>
              <w:t>4.4</w:t>
            </w:r>
          </w:p>
        </w:tc>
        <w:tc>
          <w:tcPr>
            <w:tcW w:w="8647" w:type="dxa"/>
          </w:tcPr>
          <w:p w:rsidR="00AB2E22" w:rsidRDefault="009511A2" w:rsidP="00590C36">
            <w:pPr>
              <w:autoSpaceDE w:val="0"/>
              <w:autoSpaceDN w:val="0"/>
              <w:adjustRightInd w:val="0"/>
              <w:jc w:val="both"/>
              <w:rPr>
                <w:rFonts w:ascii="Arial" w:hAnsi="Arial" w:cs="Arial"/>
                <w:szCs w:val="24"/>
              </w:rPr>
            </w:pPr>
            <w:r>
              <w:rPr>
                <w:rFonts w:ascii="Arial" w:hAnsi="Arial" w:cs="Arial"/>
                <w:szCs w:val="24"/>
              </w:rPr>
              <w:t>In making any decision to allocate further funding to Torrin Outdoor Centre, account will have to be taken of the impact of not doing or delaying one or more of the projects already agreed for submission to THC</w:t>
            </w:r>
            <w:r w:rsidR="00264850">
              <w:rPr>
                <w:rFonts w:ascii="Arial" w:hAnsi="Arial" w:cs="Arial"/>
                <w:szCs w:val="24"/>
              </w:rPr>
              <w:t>. T</w:t>
            </w:r>
            <w:r>
              <w:rPr>
                <w:rFonts w:ascii="Arial" w:hAnsi="Arial" w:cs="Arial"/>
                <w:szCs w:val="24"/>
              </w:rPr>
              <w:t xml:space="preserve">he reason </w:t>
            </w:r>
            <w:r w:rsidR="00264850">
              <w:rPr>
                <w:rFonts w:ascii="Arial" w:hAnsi="Arial" w:cs="Arial"/>
                <w:szCs w:val="24"/>
              </w:rPr>
              <w:t xml:space="preserve">that the project list was agreed was because of the positive effect they would have on </w:t>
            </w:r>
            <w:r>
              <w:rPr>
                <w:rFonts w:ascii="Arial" w:hAnsi="Arial" w:cs="Arial"/>
                <w:szCs w:val="24"/>
              </w:rPr>
              <w:t xml:space="preserve">income generation. </w:t>
            </w:r>
          </w:p>
          <w:p w:rsidR="009511A2" w:rsidRPr="009F32AF" w:rsidRDefault="009511A2" w:rsidP="00590C36">
            <w:pPr>
              <w:autoSpaceDE w:val="0"/>
              <w:autoSpaceDN w:val="0"/>
              <w:adjustRightInd w:val="0"/>
              <w:jc w:val="both"/>
              <w:rPr>
                <w:rFonts w:ascii="Arial" w:hAnsi="Arial" w:cs="Arial"/>
                <w:szCs w:val="24"/>
              </w:rPr>
            </w:pPr>
          </w:p>
        </w:tc>
      </w:tr>
      <w:tr w:rsidR="00B5469D" w:rsidRPr="00B5469D">
        <w:tc>
          <w:tcPr>
            <w:tcW w:w="817" w:type="dxa"/>
          </w:tcPr>
          <w:p w:rsidR="00B5469D" w:rsidRPr="00B5469D" w:rsidRDefault="00B5469D" w:rsidP="00590C36">
            <w:pPr>
              <w:autoSpaceDE w:val="0"/>
              <w:autoSpaceDN w:val="0"/>
              <w:adjustRightInd w:val="0"/>
              <w:rPr>
                <w:rFonts w:ascii="Arial" w:hAnsi="Arial" w:cs="Arial"/>
                <w:szCs w:val="24"/>
              </w:rPr>
            </w:pPr>
            <w:r w:rsidRPr="00B5469D">
              <w:rPr>
                <w:rFonts w:ascii="Arial" w:hAnsi="Arial" w:cs="Arial"/>
                <w:szCs w:val="24"/>
              </w:rPr>
              <w:t>4.5</w:t>
            </w:r>
          </w:p>
        </w:tc>
        <w:tc>
          <w:tcPr>
            <w:tcW w:w="8647" w:type="dxa"/>
          </w:tcPr>
          <w:p w:rsidR="00B5469D" w:rsidRDefault="00B5469D" w:rsidP="00B5469D">
            <w:pPr>
              <w:autoSpaceDE w:val="0"/>
              <w:autoSpaceDN w:val="0"/>
              <w:adjustRightInd w:val="0"/>
              <w:jc w:val="both"/>
              <w:rPr>
                <w:rFonts w:ascii="Arial" w:hAnsi="Arial" w:cs="Arial"/>
                <w:szCs w:val="24"/>
              </w:rPr>
            </w:pPr>
            <w:r w:rsidRPr="00B5469D">
              <w:rPr>
                <w:rFonts w:ascii="Arial" w:hAnsi="Arial" w:cs="Arial"/>
                <w:szCs w:val="24"/>
              </w:rPr>
              <w:t xml:space="preserve">If a decision is taken to add to HLH’s list of recommended capital projects the following sources of funding </w:t>
            </w:r>
            <w:r w:rsidR="00E419BF">
              <w:rPr>
                <w:rFonts w:ascii="Arial" w:hAnsi="Arial" w:cs="Arial"/>
                <w:szCs w:val="24"/>
              </w:rPr>
              <w:t>would</w:t>
            </w:r>
            <w:r w:rsidR="00E419BF" w:rsidRPr="00B5469D">
              <w:rPr>
                <w:rFonts w:ascii="Arial" w:hAnsi="Arial" w:cs="Arial"/>
                <w:szCs w:val="24"/>
              </w:rPr>
              <w:t xml:space="preserve"> </w:t>
            </w:r>
            <w:r w:rsidRPr="00B5469D">
              <w:rPr>
                <w:rFonts w:ascii="Arial" w:hAnsi="Arial" w:cs="Arial"/>
                <w:szCs w:val="24"/>
              </w:rPr>
              <w:t>be sought:</w:t>
            </w:r>
          </w:p>
          <w:p w:rsidR="006702D2" w:rsidRPr="00B5469D" w:rsidRDefault="006702D2" w:rsidP="00B5469D">
            <w:pPr>
              <w:autoSpaceDE w:val="0"/>
              <w:autoSpaceDN w:val="0"/>
              <w:adjustRightInd w:val="0"/>
              <w:jc w:val="both"/>
              <w:rPr>
                <w:rFonts w:ascii="Arial" w:hAnsi="Arial" w:cs="Arial"/>
                <w:szCs w:val="24"/>
              </w:rPr>
            </w:pPr>
          </w:p>
          <w:p w:rsidR="00B5469D" w:rsidRDefault="00B5469D" w:rsidP="00EA2034">
            <w:pPr>
              <w:pStyle w:val="ListParagraph"/>
              <w:numPr>
                <w:ilvl w:val="0"/>
                <w:numId w:val="6"/>
              </w:numPr>
              <w:autoSpaceDE w:val="0"/>
              <w:autoSpaceDN w:val="0"/>
              <w:adjustRightInd w:val="0"/>
              <w:spacing w:after="0"/>
              <w:ind w:left="459" w:hanging="283"/>
              <w:jc w:val="both"/>
              <w:rPr>
                <w:rFonts w:ascii="Arial" w:hAnsi="Arial" w:cs="Arial"/>
                <w:sz w:val="24"/>
                <w:szCs w:val="24"/>
              </w:rPr>
            </w:pPr>
            <w:r>
              <w:rPr>
                <w:rFonts w:ascii="Arial" w:hAnsi="Arial" w:cs="Arial"/>
                <w:sz w:val="24"/>
                <w:szCs w:val="24"/>
              </w:rPr>
              <w:t>E</w:t>
            </w:r>
            <w:r w:rsidRPr="00B5469D">
              <w:rPr>
                <w:rFonts w:ascii="Arial" w:hAnsi="Arial" w:cs="Arial"/>
                <w:sz w:val="24"/>
                <w:szCs w:val="24"/>
              </w:rPr>
              <w:t>xternal funding</w:t>
            </w:r>
            <w:r>
              <w:rPr>
                <w:rFonts w:ascii="Arial" w:hAnsi="Arial" w:cs="Arial"/>
                <w:sz w:val="24"/>
                <w:szCs w:val="24"/>
              </w:rPr>
              <w:t xml:space="preserve"> – grant funding has been previously explored using the expertise of THC’s External Funding Manager. There was no funding available to refurbish the building but there may be </w:t>
            </w:r>
            <w:r w:rsidR="00264850">
              <w:rPr>
                <w:rFonts w:ascii="Arial" w:hAnsi="Arial" w:cs="Arial"/>
                <w:sz w:val="24"/>
                <w:szCs w:val="24"/>
              </w:rPr>
              <w:t xml:space="preserve">the ability to attract funding for </w:t>
            </w:r>
            <w:r>
              <w:rPr>
                <w:rFonts w:ascii="Arial" w:hAnsi="Arial" w:cs="Arial"/>
                <w:sz w:val="24"/>
                <w:szCs w:val="24"/>
              </w:rPr>
              <w:t>“add-ons” such as interpretation</w:t>
            </w:r>
            <w:r w:rsidR="00264850">
              <w:rPr>
                <w:rFonts w:ascii="Arial" w:hAnsi="Arial" w:cs="Arial"/>
                <w:sz w:val="24"/>
                <w:szCs w:val="24"/>
              </w:rPr>
              <w:t xml:space="preserve"> of the local environment/area </w:t>
            </w:r>
            <w:r>
              <w:rPr>
                <w:rFonts w:ascii="Arial" w:hAnsi="Arial" w:cs="Arial"/>
                <w:sz w:val="24"/>
                <w:szCs w:val="24"/>
              </w:rPr>
              <w:t xml:space="preserve">and carbon reduction; and  </w:t>
            </w:r>
          </w:p>
          <w:p w:rsidR="006702D2" w:rsidRDefault="00B5469D" w:rsidP="00FE1371">
            <w:pPr>
              <w:pStyle w:val="ListParagraph"/>
              <w:numPr>
                <w:ilvl w:val="0"/>
                <w:numId w:val="6"/>
              </w:numPr>
              <w:autoSpaceDE w:val="0"/>
              <w:autoSpaceDN w:val="0"/>
              <w:adjustRightInd w:val="0"/>
              <w:spacing w:after="0"/>
              <w:ind w:left="459" w:hanging="283"/>
              <w:jc w:val="both"/>
              <w:rPr>
                <w:rFonts w:ascii="Arial" w:hAnsi="Arial" w:cs="Arial"/>
                <w:sz w:val="24"/>
                <w:szCs w:val="24"/>
              </w:rPr>
            </w:pPr>
            <w:r>
              <w:rPr>
                <w:rFonts w:ascii="Arial" w:hAnsi="Arial" w:cs="Arial"/>
                <w:sz w:val="24"/>
                <w:szCs w:val="24"/>
              </w:rPr>
              <w:t>A</w:t>
            </w:r>
            <w:r w:rsidRPr="00B5469D">
              <w:rPr>
                <w:rFonts w:ascii="Arial" w:hAnsi="Arial" w:cs="Arial"/>
                <w:sz w:val="24"/>
                <w:szCs w:val="24"/>
              </w:rPr>
              <w:t xml:space="preserve">dditional funding from </w:t>
            </w:r>
            <w:r>
              <w:rPr>
                <w:rFonts w:ascii="Arial" w:hAnsi="Arial" w:cs="Arial"/>
                <w:sz w:val="24"/>
                <w:szCs w:val="24"/>
              </w:rPr>
              <w:t xml:space="preserve">other </w:t>
            </w:r>
            <w:r w:rsidRPr="00B5469D">
              <w:rPr>
                <w:rFonts w:ascii="Arial" w:hAnsi="Arial" w:cs="Arial"/>
                <w:sz w:val="24"/>
                <w:szCs w:val="24"/>
              </w:rPr>
              <w:t xml:space="preserve">THC </w:t>
            </w:r>
            <w:r>
              <w:rPr>
                <w:rFonts w:ascii="Arial" w:hAnsi="Arial" w:cs="Arial"/>
                <w:sz w:val="24"/>
                <w:szCs w:val="24"/>
              </w:rPr>
              <w:t xml:space="preserve">budgets such as funding for ensuring that the building can be kept wind and watertight; compliance with the Disability Discrimination Act; etc. </w:t>
            </w:r>
          </w:p>
          <w:p w:rsidR="006563C5" w:rsidRDefault="006563C5" w:rsidP="006563C5">
            <w:pPr>
              <w:autoSpaceDE w:val="0"/>
              <w:autoSpaceDN w:val="0"/>
              <w:adjustRightInd w:val="0"/>
              <w:jc w:val="both"/>
              <w:rPr>
                <w:rFonts w:ascii="Arial" w:hAnsi="Arial" w:cs="Arial"/>
                <w:szCs w:val="24"/>
              </w:rPr>
            </w:pPr>
          </w:p>
          <w:p w:rsidR="006563C5" w:rsidRPr="006563C5" w:rsidRDefault="006563C5" w:rsidP="006563C5">
            <w:pPr>
              <w:autoSpaceDE w:val="0"/>
              <w:autoSpaceDN w:val="0"/>
              <w:adjustRightInd w:val="0"/>
              <w:jc w:val="both"/>
              <w:rPr>
                <w:rFonts w:ascii="Arial" w:hAnsi="Arial" w:cs="Arial"/>
                <w:szCs w:val="24"/>
              </w:rPr>
            </w:pPr>
          </w:p>
        </w:tc>
      </w:tr>
      <w:tr w:rsidR="00AB2E22" w:rsidRPr="00B5469D">
        <w:tc>
          <w:tcPr>
            <w:tcW w:w="817" w:type="dxa"/>
          </w:tcPr>
          <w:p w:rsidR="00AB2E22" w:rsidRPr="00B5469D" w:rsidRDefault="00A13BBF" w:rsidP="00590C36">
            <w:pPr>
              <w:autoSpaceDE w:val="0"/>
              <w:autoSpaceDN w:val="0"/>
              <w:adjustRightInd w:val="0"/>
              <w:rPr>
                <w:rFonts w:ascii="Arial" w:hAnsi="Arial" w:cs="Arial"/>
                <w:b/>
                <w:szCs w:val="24"/>
              </w:rPr>
            </w:pPr>
            <w:r w:rsidRPr="00B5469D">
              <w:rPr>
                <w:rFonts w:ascii="Arial" w:hAnsi="Arial" w:cs="Arial"/>
                <w:b/>
                <w:szCs w:val="24"/>
              </w:rPr>
              <w:lastRenderedPageBreak/>
              <w:t>5.</w:t>
            </w:r>
          </w:p>
        </w:tc>
        <w:tc>
          <w:tcPr>
            <w:tcW w:w="8647" w:type="dxa"/>
          </w:tcPr>
          <w:p w:rsidR="00AB2E22" w:rsidRDefault="00E73985" w:rsidP="00B5469D">
            <w:pPr>
              <w:pStyle w:val="Heading2"/>
              <w:shd w:val="clear" w:color="auto" w:fill="FFFFFF"/>
              <w:rPr>
                <w:rFonts w:ascii="Arial" w:hAnsi="Arial" w:cs="Arial"/>
                <w:b/>
                <w:color w:val="444444"/>
                <w:szCs w:val="24"/>
                <w:u w:val="none"/>
              </w:rPr>
            </w:pPr>
            <w:r>
              <w:rPr>
                <w:rFonts w:ascii="Arial" w:hAnsi="Arial" w:cs="Arial"/>
                <w:b/>
                <w:color w:val="444444"/>
                <w:szCs w:val="24"/>
                <w:u w:val="none"/>
              </w:rPr>
              <w:t xml:space="preserve">Ward 11 - </w:t>
            </w:r>
            <w:proofErr w:type="spellStart"/>
            <w:r w:rsidR="00B5469D" w:rsidRPr="00B5469D">
              <w:rPr>
                <w:rFonts w:ascii="Arial" w:hAnsi="Arial" w:cs="Arial"/>
                <w:b/>
                <w:color w:val="444444"/>
                <w:szCs w:val="24"/>
                <w:u w:val="none"/>
              </w:rPr>
              <w:t>Eilean</w:t>
            </w:r>
            <w:proofErr w:type="spellEnd"/>
            <w:r w:rsidR="00B5469D" w:rsidRPr="00B5469D">
              <w:rPr>
                <w:rFonts w:ascii="Arial" w:hAnsi="Arial" w:cs="Arial"/>
                <w:b/>
                <w:color w:val="444444"/>
                <w:szCs w:val="24"/>
                <w:u w:val="none"/>
              </w:rPr>
              <w:t xml:space="preserve"> a' </w:t>
            </w:r>
            <w:proofErr w:type="spellStart"/>
            <w:r w:rsidR="00B5469D" w:rsidRPr="00B5469D">
              <w:rPr>
                <w:rFonts w:ascii="Arial" w:hAnsi="Arial" w:cs="Arial"/>
                <w:b/>
                <w:color w:val="444444"/>
                <w:szCs w:val="24"/>
                <w:u w:val="none"/>
              </w:rPr>
              <w:t>Cheò</w:t>
            </w:r>
            <w:proofErr w:type="spellEnd"/>
            <w:r w:rsidR="00E419BF">
              <w:rPr>
                <w:rFonts w:ascii="Arial" w:hAnsi="Arial" w:cs="Arial"/>
                <w:b/>
                <w:color w:val="444444"/>
                <w:szCs w:val="24"/>
                <w:u w:val="none"/>
              </w:rPr>
              <w:t xml:space="preserve"> </w:t>
            </w:r>
          </w:p>
          <w:p w:rsidR="00B5469D" w:rsidRPr="00B5469D" w:rsidRDefault="00B5469D" w:rsidP="00B5469D"/>
        </w:tc>
      </w:tr>
      <w:tr w:rsidR="00AB2E22" w:rsidRPr="009F32AF">
        <w:tc>
          <w:tcPr>
            <w:tcW w:w="817" w:type="dxa"/>
          </w:tcPr>
          <w:p w:rsidR="00AB2E22" w:rsidRPr="009F32AF" w:rsidRDefault="00B5469D" w:rsidP="00590C36">
            <w:pPr>
              <w:autoSpaceDE w:val="0"/>
              <w:autoSpaceDN w:val="0"/>
              <w:adjustRightInd w:val="0"/>
              <w:rPr>
                <w:rFonts w:ascii="Arial" w:hAnsi="Arial" w:cs="Arial"/>
                <w:szCs w:val="24"/>
              </w:rPr>
            </w:pPr>
            <w:r>
              <w:rPr>
                <w:rFonts w:ascii="Arial" w:hAnsi="Arial" w:cs="Arial"/>
                <w:szCs w:val="24"/>
              </w:rPr>
              <w:t>5.1</w:t>
            </w:r>
          </w:p>
        </w:tc>
        <w:tc>
          <w:tcPr>
            <w:tcW w:w="8647" w:type="dxa"/>
          </w:tcPr>
          <w:p w:rsidR="00AB2E22" w:rsidRDefault="00B5469D" w:rsidP="00693656">
            <w:pPr>
              <w:autoSpaceDE w:val="0"/>
              <w:autoSpaceDN w:val="0"/>
              <w:adjustRightInd w:val="0"/>
              <w:jc w:val="both"/>
              <w:rPr>
                <w:rFonts w:ascii="Arial" w:hAnsi="Arial" w:cs="Arial"/>
              </w:rPr>
            </w:pPr>
            <w:r>
              <w:rPr>
                <w:rFonts w:ascii="Arial" w:hAnsi="Arial" w:cs="Arial"/>
                <w:szCs w:val="24"/>
              </w:rPr>
              <w:t xml:space="preserve">At the June HLH Board meeting it was agreed that </w:t>
            </w:r>
            <w:r w:rsidR="00693656" w:rsidRPr="001216C7">
              <w:rPr>
                <w:rFonts w:ascii="Arial" w:hAnsi="Arial" w:cs="Arial"/>
              </w:rPr>
              <w:t xml:space="preserve">the Head of Performance </w:t>
            </w:r>
            <w:r w:rsidR="00693656">
              <w:rPr>
                <w:rFonts w:ascii="Arial" w:hAnsi="Arial" w:cs="Arial"/>
              </w:rPr>
              <w:t>would</w:t>
            </w:r>
            <w:r w:rsidR="00693656" w:rsidRPr="001216C7">
              <w:rPr>
                <w:rFonts w:ascii="Arial" w:hAnsi="Arial" w:cs="Arial"/>
              </w:rPr>
              <w:t xml:space="preserve"> meet with local Councillors to provide them with an update</w:t>
            </w:r>
            <w:r w:rsidR="00693656">
              <w:rPr>
                <w:rFonts w:ascii="Arial" w:hAnsi="Arial" w:cs="Arial"/>
              </w:rPr>
              <w:t xml:space="preserve">. </w:t>
            </w:r>
            <w:r w:rsidR="00FF59DD">
              <w:rPr>
                <w:rFonts w:ascii="Arial" w:hAnsi="Arial" w:cs="Arial"/>
              </w:rPr>
              <w:t xml:space="preserve">The first available Ward meeting date for this </w:t>
            </w:r>
            <w:r w:rsidR="00E419BF">
              <w:rPr>
                <w:rFonts w:ascii="Arial" w:hAnsi="Arial" w:cs="Arial"/>
              </w:rPr>
              <w:t xml:space="preserve">is </w:t>
            </w:r>
            <w:r w:rsidR="00FF59DD">
              <w:rPr>
                <w:rFonts w:ascii="Arial" w:hAnsi="Arial" w:cs="Arial"/>
              </w:rPr>
              <w:t xml:space="preserve">5 October 2015 and an update will be provided to them at that meeting. </w:t>
            </w:r>
          </w:p>
          <w:p w:rsidR="00FF59DD" w:rsidRPr="00B5469D" w:rsidRDefault="00FF59DD" w:rsidP="00693656">
            <w:pPr>
              <w:autoSpaceDE w:val="0"/>
              <w:autoSpaceDN w:val="0"/>
              <w:adjustRightInd w:val="0"/>
              <w:jc w:val="both"/>
              <w:rPr>
                <w:rFonts w:ascii="Arial" w:hAnsi="Arial" w:cs="Arial"/>
                <w:szCs w:val="24"/>
              </w:rPr>
            </w:pPr>
          </w:p>
        </w:tc>
      </w:tr>
      <w:tr w:rsidR="005058F1" w:rsidRPr="009F32AF" w:rsidTr="005058F1">
        <w:tc>
          <w:tcPr>
            <w:tcW w:w="817" w:type="dxa"/>
          </w:tcPr>
          <w:p w:rsidR="005058F1" w:rsidRPr="009F32AF" w:rsidRDefault="00B5469D" w:rsidP="007A4C81">
            <w:pPr>
              <w:autoSpaceDE w:val="0"/>
              <w:autoSpaceDN w:val="0"/>
              <w:adjustRightInd w:val="0"/>
              <w:rPr>
                <w:rFonts w:ascii="Arial" w:hAnsi="Arial" w:cs="Arial"/>
                <w:b/>
                <w:szCs w:val="24"/>
              </w:rPr>
            </w:pPr>
            <w:r>
              <w:rPr>
                <w:rFonts w:ascii="Arial" w:hAnsi="Arial" w:cs="Arial"/>
                <w:b/>
                <w:szCs w:val="24"/>
              </w:rPr>
              <w:t>6</w:t>
            </w:r>
            <w:r w:rsidR="005058F1" w:rsidRPr="009F32AF">
              <w:rPr>
                <w:rFonts w:ascii="Arial" w:hAnsi="Arial" w:cs="Arial"/>
                <w:b/>
                <w:szCs w:val="24"/>
              </w:rPr>
              <w:t>.</w:t>
            </w:r>
          </w:p>
        </w:tc>
        <w:tc>
          <w:tcPr>
            <w:tcW w:w="8647" w:type="dxa"/>
          </w:tcPr>
          <w:p w:rsidR="005058F1" w:rsidRPr="009F32AF" w:rsidRDefault="005058F1" w:rsidP="005058F1">
            <w:pPr>
              <w:autoSpaceDE w:val="0"/>
              <w:autoSpaceDN w:val="0"/>
              <w:adjustRightInd w:val="0"/>
              <w:jc w:val="both"/>
              <w:rPr>
                <w:rFonts w:ascii="Arial" w:hAnsi="Arial" w:cs="Arial"/>
                <w:b/>
                <w:szCs w:val="24"/>
              </w:rPr>
            </w:pPr>
            <w:r w:rsidRPr="009F32AF">
              <w:rPr>
                <w:rFonts w:ascii="Arial" w:hAnsi="Arial" w:cs="Arial"/>
                <w:b/>
                <w:szCs w:val="24"/>
              </w:rPr>
              <w:t>Implications</w:t>
            </w:r>
          </w:p>
          <w:p w:rsidR="00A241C4" w:rsidRPr="009F32AF" w:rsidRDefault="00A241C4" w:rsidP="005058F1">
            <w:pPr>
              <w:autoSpaceDE w:val="0"/>
              <w:autoSpaceDN w:val="0"/>
              <w:adjustRightInd w:val="0"/>
              <w:jc w:val="both"/>
              <w:rPr>
                <w:rFonts w:ascii="Arial" w:hAnsi="Arial" w:cs="Arial"/>
                <w:b/>
                <w:szCs w:val="24"/>
              </w:rPr>
            </w:pPr>
          </w:p>
        </w:tc>
      </w:tr>
      <w:tr w:rsidR="00050D22" w:rsidRPr="0089449E">
        <w:tc>
          <w:tcPr>
            <w:tcW w:w="817" w:type="dxa"/>
          </w:tcPr>
          <w:p w:rsidR="00050D22" w:rsidRDefault="007A4C81" w:rsidP="00050D22">
            <w:pPr>
              <w:autoSpaceDE w:val="0"/>
              <w:autoSpaceDN w:val="0"/>
              <w:adjustRightInd w:val="0"/>
              <w:rPr>
                <w:rFonts w:ascii="Arial" w:hAnsi="Arial" w:cs="Arial"/>
              </w:rPr>
            </w:pPr>
            <w:r>
              <w:rPr>
                <w:rFonts w:ascii="Arial" w:hAnsi="Arial" w:cs="Arial"/>
              </w:rPr>
              <w:t>6</w:t>
            </w:r>
            <w:r w:rsidR="00050D22" w:rsidRPr="0089449E">
              <w:rPr>
                <w:rFonts w:ascii="Arial" w:hAnsi="Arial" w:cs="Arial"/>
              </w:rPr>
              <w:t>.1</w:t>
            </w:r>
          </w:p>
          <w:p w:rsidR="00050D22" w:rsidRDefault="00050D22" w:rsidP="00590C36">
            <w:pPr>
              <w:autoSpaceDE w:val="0"/>
              <w:autoSpaceDN w:val="0"/>
              <w:adjustRightInd w:val="0"/>
              <w:rPr>
                <w:rFonts w:ascii="Arial" w:hAnsi="Arial" w:cs="Arial"/>
                <w:b/>
              </w:rPr>
            </w:pPr>
          </w:p>
        </w:tc>
        <w:tc>
          <w:tcPr>
            <w:tcW w:w="8647" w:type="dxa"/>
          </w:tcPr>
          <w:p w:rsidR="00050D22" w:rsidRDefault="00050D22" w:rsidP="00FF59DD">
            <w:pPr>
              <w:autoSpaceDE w:val="0"/>
              <w:autoSpaceDN w:val="0"/>
              <w:adjustRightInd w:val="0"/>
              <w:jc w:val="both"/>
              <w:rPr>
                <w:rFonts w:ascii="Arial" w:hAnsi="Arial" w:cs="Arial"/>
              </w:rPr>
            </w:pPr>
            <w:r>
              <w:rPr>
                <w:rFonts w:ascii="Arial" w:hAnsi="Arial" w:cs="Arial"/>
              </w:rPr>
              <w:t>Resource Implications –</w:t>
            </w:r>
            <w:r w:rsidR="00A241C4">
              <w:rPr>
                <w:rFonts w:ascii="Arial" w:hAnsi="Arial" w:cs="Arial"/>
              </w:rPr>
              <w:t xml:space="preserve"> There are no </w:t>
            </w:r>
            <w:r w:rsidR="00FF59DD">
              <w:rPr>
                <w:rFonts w:ascii="Arial" w:hAnsi="Arial" w:cs="Arial"/>
              </w:rPr>
              <w:t xml:space="preserve">direct </w:t>
            </w:r>
            <w:r w:rsidR="00A241C4">
              <w:rPr>
                <w:rFonts w:ascii="Arial" w:hAnsi="Arial" w:cs="Arial"/>
              </w:rPr>
              <w:t>additional resource implications arising from this report</w:t>
            </w:r>
            <w:r w:rsidR="00FF59DD">
              <w:rPr>
                <w:rFonts w:ascii="Arial" w:hAnsi="Arial" w:cs="Arial"/>
              </w:rPr>
              <w:t xml:space="preserve"> other than the possible delay of other projects in</w:t>
            </w:r>
            <w:r w:rsidR="00264850">
              <w:rPr>
                <w:rFonts w:ascii="Arial" w:hAnsi="Arial" w:cs="Arial"/>
              </w:rPr>
              <w:t xml:space="preserve"> the</w:t>
            </w:r>
            <w:r w:rsidR="00FF59DD">
              <w:rPr>
                <w:rFonts w:ascii="Arial" w:hAnsi="Arial" w:cs="Arial"/>
              </w:rPr>
              <w:t xml:space="preserve"> capital programme. </w:t>
            </w:r>
          </w:p>
          <w:p w:rsidR="00FF59DD" w:rsidRPr="0089449E" w:rsidRDefault="00FF59DD" w:rsidP="00FF59DD">
            <w:pPr>
              <w:autoSpaceDE w:val="0"/>
              <w:autoSpaceDN w:val="0"/>
              <w:adjustRightInd w:val="0"/>
              <w:jc w:val="both"/>
              <w:rPr>
                <w:rFonts w:ascii="Arial" w:hAnsi="Arial" w:cs="Arial"/>
                <w:b/>
              </w:rPr>
            </w:pPr>
          </w:p>
        </w:tc>
      </w:tr>
      <w:tr w:rsidR="00050D22" w:rsidRPr="0089449E">
        <w:tc>
          <w:tcPr>
            <w:tcW w:w="817" w:type="dxa"/>
          </w:tcPr>
          <w:p w:rsidR="00050D22" w:rsidRDefault="007A4C81" w:rsidP="00050D22">
            <w:pPr>
              <w:autoSpaceDE w:val="0"/>
              <w:autoSpaceDN w:val="0"/>
              <w:adjustRightInd w:val="0"/>
              <w:rPr>
                <w:rFonts w:ascii="Arial" w:hAnsi="Arial" w:cs="Arial"/>
              </w:rPr>
            </w:pPr>
            <w:r>
              <w:rPr>
                <w:rFonts w:ascii="Arial" w:hAnsi="Arial" w:cs="Arial"/>
              </w:rPr>
              <w:t>6</w:t>
            </w:r>
            <w:r w:rsidR="00050D22">
              <w:rPr>
                <w:rFonts w:ascii="Arial" w:hAnsi="Arial" w:cs="Arial"/>
              </w:rPr>
              <w:t>.2</w:t>
            </w:r>
          </w:p>
          <w:p w:rsidR="00050D22" w:rsidRDefault="00050D22" w:rsidP="00590C36">
            <w:pPr>
              <w:autoSpaceDE w:val="0"/>
              <w:autoSpaceDN w:val="0"/>
              <w:adjustRightInd w:val="0"/>
              <w:rPr>
                <w:rFonts w:ascii="Arial" w:hAnsi="Arial" w:cs="Arial"/>
                <w:b/>
              </w:rPr>
            </w:pPr>
          </w:p>
        </w:tc>
        <w:tc>
          <w:tcPr>
            <w:tcW w:w="8647" w:type="dxa"/>
          </w:tcPr>
          <w:p w:rsidR="00A241C4" w:rsidRDefault="00050D22" w:rsidP="00A241C4">
            <w:pPr>
              <w:autoSpaceDE w:val="0"/>
              <w:autoSpaceDN w:val="0"/>
              <w:adjustRightInd w:val="0"/>
              <w:jc w:val="both"/>
              <w:rPr>
                <w:rFonts w:ascii="Arial" w:hAnsi="Arial" w:cs="Arial"/>
              </w:rPr>
            </w:pPr>
            <w:r>
              <w:rPr>
                <w:rFonts w:ascii="Arial" w:hAnsi="Arial" w:cs="Arial"/>
              </w:rPr>
              <w:t>Legal Implications -</w:t>
            </w:r>
            <w:r w:rsidR="00A241C4">
              <w:rPr>
                <w:rFonts w:ascii="Arial" w:hAnsi="Arial" w:cs="Arial"/>
              </w:rPr>
              <w:t xml:space="preserve"> There are no new legal implications arising from this report.</w:t>
            </w:r>
          </w:p>
          <w:p w:rsidR="00050D22" w:rsidRPr="0089449E" w:rsidRDefault="00050D22" w:rsidP="00590C36">
            <w:pPr>
              <w:autoSpaceDE w:val="0"/>
              <w:autoSpaceDN w:val="0"/>
              <w:adjustRightInd w:val="0"/>
              <w:jc w:val="both"/>
              <w:rPr>
                <w:rFonts w:ascii="Arial" w:hAnsi="Arial" w:cs="Arial"/>
                <w:b/>
              </w:rPr>
            </w:pPr>
          </w:p>
        </w:tc>
      </w:tr>
      <w:tr w:rsidR="00050D22" w:rsidRPr="0089449E">
        <w:tc>
          <w:tcPr>
            <w:tcW w:w="817" w:type="dxa"/>
          </w:tcPr>
          <w:p w:rsidR="00050D22" w:rsidRDefault="007A4C81" w:rsidP="00C3617E">
            <w:pPr>
              <w:autoSpaceDE w:val="0"/>
              <w:autoSpaceDN w:val="0"/>
              <w:adjustRightInd w:val="0"/>
              <w:rPr>
                <w:rFonts w:ascii="Arial" w:hAnsi="Arial" w:cs="Arial"/>
                <w:b/>
              </w:rPr>
            </w:pPr>
            <w:r>
              <w:rPr>
                <w:rFonts w:ascii="Arial" w:hAnsi="Arial" w:cs="Arial"/>
              </w:rPr>
              <w:t>6</w:t>
            </w:r>
            <w:r w:rsidR="00050D22">
              <w:rPr>
                <w:rFonts w:ascii="Arial" w:hAnsi="Arial" w:cs="Arial"/>
              </w:rPr>
              <w:t>.</w:t>
            </w:r>
            <w:r w:rsidR="00C3617E">
              <w:rPr>
                <w:rFonts w:ascii="Arial" w:hAnsi="Arial" w:cs="Arial"/>
              </w:rPr>
              <w:t>3</w:t>
            </w:r>
          </w:p>
        </w:tc>
        <w:tc>
          <w:tcPr>
            <w:tcW w:w="8647" w:type="dxa"/>
          </w:tcPr>
          <w:p w:rsidR="00A241C4" w:rsidRDefault="00050D22" w:rsidP="00A241C4">
            <w:pPr>
              <w:autoSpaceDE w:val="0"/>
              <w:autoSpaceDN w:val="0"/>
              <w:adjustRightInd w:val="0"/>
              <w:jc w:val="both"/>
              <w:rPr>
                <w:rFonts w:ascii="Arial" w:hAnsi="Arial" w:cs="Arial"/>
              </w:rPr>
            </w:pPr>
            <w:r>
              <w:rPr>
                <w:rFonts w:ascii="Arial" w:hAnsi="Arial" w:cs="Arial"/>
              </w:rPr>
              <w:t xml:space="preserve">Risk Implications </w:t>
            </w:r>
            <w:r w:rsidR="00A241C4">
              <w:rPr>
                <w:rFonts w:ascii="Arial" w:hAnsi="Arial" w:cs="Arial"/>
              </w:rPr>
              <w:t>–</w:t>
            </w:r>
            <w:r>
              <w:rPr>
                <w:rFonts w:ascii="Arial" w:hAnsi="Arial" w:cs="Arial"/>
              </w:rPr>
              <w:t xml:space="preserve"> </w:t>
            </w:r>
            <w:r w:rsidR="00A241C4">
              <w:rPr>
                <w:rFonts w:ascii="Arial" w:hAnsi="Arial" w:cs="Arial"/>
              </w:rPr>
              <w:t xml:space="preserve">There are no new risk implications arising from this report. </w:t>
            </w:r>
          </w:p>
          <w:p w:rsidR="006702D2" w:rsidRPr="005307D1" w:rsidRDefault="006702D2" w:rsidP="00A241C4">
            <w:pPr>
              <w:autoSpaceDE w:val="0"/>
              <w:autoSpaceDN w:val="0"/>
              <w:adjustRightInd w:val="0"/>
              <w:jc w:val="both"/>
              <w:rPr>
                <w:rFonts w:ascii="Arial" w:hAnsi="Arial" w:cs="Arial"/>
              </w:rPr>
            </w:pPr>
          </w:p>
        </w:tc>
      </w:tr>
    </w:tbl>
    <w:p w:rsidR="0039450A" w:rsidRPr="0089449E" w:rsidRDefault="0039450A" w:rsidP="00416BFF">
      <w:pPr>
        <w:jc w:val="both"/>
        <w:rPr>
          <w:rFonts w:ascii="Arial" w:hAnsi="Arial" w:cs="Arial"/>
          <w:szCs w:val="24"/>
        </w:rPr>
      </w:pPr>
    </w:p>
    <w:p w:rsidR="0039450A" w:rsidRPr="0089449E" w:rsidRDefault="0039450A" w:rsidP="00416BFF">
      <w:pPr>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89449E">
        <w:trPr>
          <w:cantSplit/>
        </w:trPr>
        <w:tc>
          <w:tcPr>
            <w:tcW w:w="9464" w:type="dxa"/>
          </w:tcPr>
          <w:p w:rsidR="0039450A" w:rsidRPr="0089449E" w:rsidRDefault="002B7DC4" w:rsidP="00416BFF">
            <w:pPr>
              <w:pStyle w:val="Heading3"/>
              <w:jc w:val="left"/>
              <w:rPr>
                <w:rFonts w:ascii="Arial" w:hAnsi="Arial" w:cs="Arial"/>
                <w:b/>
                <w:szCs w:val="24"/>
                <w:u w:val="none"/>
              </w:rPr>
            </w:pPr>
            <w:r w:rsidRPr="0089449E">
              <w:rPr>
                <w:rFonts w:ascii="Arial" w:hAnsi="Arial" w:cs="Arial"/>
                <w:b/>
                <w:szCs w:val="24"/>
                <w:u w:val="none"/>
              </w:rPr>
              <w:t>Recommendation</w:t>
            </w:r>
          </w:p>
          <w:p w:rsidR="00350C19" w:rsidRDefault="00350C19" w:rsidP="000406B8">
            <w:pPr>
              <w:jc w:val="both"/>
              <w:rPr>
                <w:rFonts w:ascii="Arial" w:hAnsi="Arial" w:cs="Arial"/>
                <w:szCs w:val="24"/>
              </w:rPr>
            </w:pPr>
          </w:p>
          <w:p w:rsidR="006702D2" w:rsidRDefault="00A454FB" w:rsidP="00A454FB">
            <w:pPr>
              <w:jc w:val="both"/>
              <w:rPr>
                <w:rFonts w:ascii="Arial" w:hAnsi="Arial" w:cs="Arial"/>
                <w:szCs w:val="24"/>
              </w:rPr>
            </w:pPr>
            <w:r w:rsidRPr="007C1889">
              <w:rPr>
                <w:rFonts w:ascii="Arial" w:hAnsi="Arial" w:cs="Arial"/>
                <w:szCs w:val="24"/>
              </w:rPr>
              <w:t>It is recommended that Directors</w:t>
            </w:r>
            <w:r w:rsidR="006702D2">
              <w:rPr>
                <w:rFonts w:ascii="Arial" w:hAnsi="Arial" w:cs="Arial"/>
                <w:szCs w:val="24"/>
              </w:rPr>
              <w:t xml:space="preserve">:- </w:t>
            </w:r>
          </w:p>
          <w:p w:rsidR="00A454FB" w:rsidRPr="007C1889" w:rsidRDefault="00A454FB" w:rsidP="00A454FB">
            <w:pPr>
              <w:jc w:val="both"/>
              <w:rPr>
                <w:rFonts w:ascii="Arial" w:hAnsi="Arial" w:cs="Arial"/>
                <w:szCs w:val="24"/>
              </w:rPr>
            </w:pPr>
            <w:r w:rsidRPr="007C1889">
              <w:rPr>
                <w:rFonts w:ascii="Arial" w:hAnsi="Arial" w:cs="Arial"/>
                <w:szCs w:val="24"/>
              </w:rPr>
              <w:t xml:space="preserve"> </w:t>
            </w:r>
          </w:p>
          <w:p w:rsidR="00A454FB" w:rsidRPr="007C1889" w:rsidRDefault="00A454FB" w:rsidP="00A454FB">
            <w:pPr>
              <w:pStyle w:val="ListParagraph"/>
              <w:numPr>
                <w:ilvl w:val="0"/>
                <w:numId w:val="17"/>
              </w:numPr>
              <w:jc w:val="both"/>
              <w:rPr>
                <w:rFonts w:ascii="Arial" w:hAnsi="Arial" w:cs="Arial"/>
                <w:sz w:val="24"/>
                <w:szCs w:val="24"/>
              </w:rPr>
            </w:pPr>
            <w:r w:rsidRPr="007C1889">
              <w:rPr>
                <w:rFonts w:ascii="Arial" w:hAnsi="Arial" w:cs="Arial"/>
                <w:sz w:val="24"/>
                <w:szCs w:val="24"/>
              </w:rPr>
              <w:t xml:space="preserve">note that the request to add Torrin Outdoor Centre to the  Planned and Cyclical Maintenance Budget has been submitted to THC; </w:t>
            </w:r>
          </w:p>
          <w:p w:rsidR="00A454FB" w:rsidRPr="007C1889" w:rsidRDefault="00A454FB" w:rsidP="00A454FB">
            <w:pPr>
              <w:pStyle w:val="ListParagraph"/>
              <w:numPr>
                <w:ilvl w:val="0"/>
                <w:numId w:val="17"/>
              </w:numPr>
              <w:jc w:val="both"/>
              <w:rPr>
                <w:rFonts w:ascii="Arial" w:hAnsi="Arial" w:cs="Arial"/>
                <w:sz w:val="24"/>
                <w:szCs w:val="24"/>
              </w:rPr>
            </w:pPr>
            <w:r w:rsidRPr="007C1889">
              <w:rPr>
                <w:rFonts w:ascii="Arial" w:hAnsi="Arial" w:cs="Arial"/>
                <w:sz w:val="24"/>
                <w:szCs w:val="24"/>
              </w:rPr>
              <w:t>note that cost of bringing the facility to a fully restored state has been estimated at £450K;</w:t>
            </w:r>
          </w:p>
          <w:p w:rsidR="00A454FB" w:rsidRPr="007C1889" w:rsidRDefault="00A454FB" w:rsidP="00A454FB">
            <w:pPr>
              <w:pStyle w:val="ListParagraph"/>
              <w:numPr>
                <w:ilvl w:val="0"/>
                <w:numId w:val="17"/>
              </w:numPr>
              <w:jc w:val="both"/>
              <w:rPr>
                <w:rFonts w:ascii="Arial" w:hAnsi="Arial" w:cs="Arial"/>
                <w:sz w:val="24"/>
                <w:szCs w:val="24"/>
              </w:rPr>
            </w:pPr>
            <w:r w:rsidRPr="007C1889">
              <w:rPr>
                <w:rFonts w:ascii="Arial" w:hAnsi="Arial" w:cs="Arial"/>
                <w:sz w:val="24"/>
                <w:szCs w:val="24"/>
              </w:rPr>
              <w:t xml:space="preserve">note the previous decision of incremental growth of outdoor activity provision without significant investment; </w:t>
            </w:r>
          </w:p>
          <w:p w:rsidR="00A454FB" w:rsidRPr="00947B69" w:rsidRDefault="00A454FB" w:rsidP="00A454FB">
            <w:pPr>
              <w:pStyle w:val="ListParagraph"/>
              <w:numPr>
                <w:ilvl w:val="0"/>
                <w:numId w:val="17"/>
              </w:numPr>
              <w:jc w:val="both"/>
              <w:rPr>
                <w:rFonts w:ascii="Arial" w:hAnsi="Arial" w:cs="Arial"/>
                <w:szCs w:val="24"/>
              </w:rPr>
            </w:pPr>
            <w:r w:rsidRPr="007C1889">
              <w:rPr>
                <w:rFonts w:ascii="Arial" w:hAnsi="Arial" w:cs="Arial"/>
                <w:sz w:val="24"/>
                <w:szCs w:val="24"/>
              </w:rPr>
              <w:t xml:space="preserve">note that a change to the decision in (iii) above </w:t>
            </w:r>
            <w:r>
              <w:rPr>
                <w:rFonts w:ascii="Arial" w:hAnsi="Arial" w:cs="Arial"/>
                <w:sz w:val="24"/>
                <w:szCs w:val="24"/>
              </w:rPr>
              <w:t>would</w:t>
            </w:r>
            <w:r w:rsidRPr="007C1889">
              <w:rPr>
                <w:rFonts w:ascii="Arial" w:hAnsi="Arial" w:cs="Arial"/>
                <w:sz w:val="24"/>
                <w:szCs w:val="24"/>
              </w:rPr>
              <w:t xml:space="preserve"> result in a need to adjust the capital priorities agreed at the June HLH Board meeting</w:t>
            </w:r>
            <w:r>
              <w:rPr>
                <w:rFonts w:ascii="Arial" w:hAnsi="Arial" w:cs="Arial"/>
                <w:sz w:val="24"/>
                <w:szCs w:val="24"/>
              </w:rPr>
              <w:t>; and</w:t>
            </w:r>
          </w:p>
          <w:p w:rsidR="0039450A" w:rsidRPr="0089449E" w:rsidRDefault="00A454FB" w:rsidP="00A454FB">
            <w:pPr>
              <w:pStyle w:val="ListParagraph"/>
              <w:numPr>
                <w:ilvl w:val="0"/>
                <w:numId w:val="17"/>
              </w:numPr>
              <w:jc w:val="both"/>
              <w:rPr>
                <w:rFonts w:ascii="Arial" w:hAnsi="Arial" w:cs="Arial"/>
                <w:szCs w:val="24"/>
              </w:rPr>
            </w:pPr>
            <w:proofErr w:type="gramStart"/>
            <w:r>
              <w:rPr>
                <w:rFonts w:ascii="Arial" w:hAnsi="Arial" w:cs="Arial"/>
                <w:sz w:val="24"/>
                <w:szCs w:val="24"/>
              </w:rPr>
              <w:t>agree</w:t>
            </w:r>
            <w:proofErr w:type="gramEnd"/>
            <w:r>
              <w:rPr>
                <w:rFonts w:ascii="Arial" w:hAnsi="Arial" w:cs="Arial"/>
                <w:sz w:val="24"/>
                <w:szCs w:val="24"/>
              </w:rPr>
              <w:t xml:space="preserve"> to continue with the previously agreed course of action with regard to outdoor activities provision at Torrin Outdoor Centre of </w:t>
            </w:r>
            <w:r w:rsidRPr="007C1889">
              <w:rPr>
                <w:rFonts w:ascii="Arial" w:hAnsi="Arial" w:cs="Arial"/>
                <w:sz w:val="24"/>
                <w:szCs w:val="24"/>
              </w:rPr>
              <w:t>incremental growth without significant investment</w:t>
            </w:r>
            <w:r>
              <w:rPr>
                <w:rFonts w:ascii="Arial" w:hAnsi="Arial" w:cs="Arial"/>
                <w:sz w:val="24"/>
                <w:szCs w:val="24"/>
              </w:rPr>
              <w:t>.</w:t>
            </w:r>
            <w:r w:rsidR="0039450A" w:rsidRPr="0089449E">
              <w:rPr>
                <w:rFonts w:ascii="Arial" w:hAnsi="Arial" w:cs="Arial"/>
                <w:szCs w:val="24"/>
              </w:rPr>
              <w:fldChar w:fldCharType="begin"/>
            </w:r>
            <w:r w:rsidR="0039450A" w:rsidRPr="0089449E">
              <w:rPr>
                <w:rFonts w:ascii="Arial" w:hAnsi="Arial" w:cs="Arial"/>
                <w:szCs w:val="24"/>
              </w:rPr>
              <w:instrText xml:space="preserve">  </w:instrText>
            </w:r>
            <w:r w:rsidR="0039450A" w:rsidRPr="0089449E">
              <w:rPr>
                <w:rFonts w:ascii="Arial" w:hAnsi="Arial" w:cs="Arial"/>
                <w:szCs w:val="24"/>
              </w:rPr>
              <w:fldChar w:fldCharType="end"/>
            </w:r>
          </w:p>
        </w:tc>
      </w:tr>
    </w:tbl>
    <w:p w:rsidR="0039450A" w:rsidRPr="0089449E" w:rsidRDefault="0039450A" w:rsidP="00416BFF">
      <w:pPr>
        <w:rPr>
          <w:rFonts w:ascii="Arial" w:hAnsi="Arial" w:cs="Arial"/>
          <w:szCs w:val="24"/>
        </w:rPr>
      </w:pPr>
    </w:p>
    <w:p w:rsidR="0039450A" w:rsidRPr="0089449E" w:rsidRDefault="0039450A" w:rsidP="00416BFF">
      <w:pPr>
        <w:rPr>
          <w:rFonts w:ascii="Arial" w:hAnsi="Arial" w:cs="Arial"/>
          <w:szCs w:val="24"/>
        </w:rPr>
      </w:pPr>
    </w:p>
    <w:p w:rsidR="0039450A" w:rsidRPr="0089449E" w:rsidRDefault="0039450A" w:rsidP="00416BFF">
      <w:pPr>
        <w:rPr>
          <w:rFonts w:ascii="Arial" w:hAnsi="Arial" w:cs="Arial"/>
          <w:szCs w:val="24"/>
        </w:rPr>
      </w:pPr>
    </w:p>
    <w:p w:rsidR="0039450A" w:rsidRPr="0089449E" w:rsidRDefault="0039450A" w:rsidP="00416BFF">
      <w:pPr>
        <w:rPr>
          <w:rFonts w:ascii="Arial" w:hAnsi="Arial" w:cs="Arial"/>
          <w:szCs w:val="24"/>
        </w:rPr>
      </w:pPr>
      <w:r w:rsidRPr="0089449E">
        <w:rPr>
          <w:rFonts w:ascii="Arial" w:hAnsi="Arial" w:cs="Arial"/>
          <w:szCs w:val="24"/>
        </w:rPr>
        <w:t>Signature:</w:t>
      </w:r>
    </w:p>
    <w:p w:rsidR="0039450A" w:rsidRPr="0089449E" w:rsidRDefault="0039450A" w:rsidP="00416BFF">
      <w:pPr>
        <w:rPr>
          <w:rFonts w:ascii="Arial" w:hAnsi="Arial" w:cs="Arial"/>
          <w:szCs w:val="24"/>
        </w:rPr>
      </w:pPr>
    </w:p>
    <w:p w:rsidR="0039450A" w:rsidRPr="0089449E" w:rsidRDefault="0039450A" w:rsidP="00416BFF">
      <w:pPr>
        <w:rPr>
          <w:rFonts w:ascii="Arial" w:hAnsi="Arial" w:cs="Arial"/>
          <w:szCs w:val="24"/>
        </w:rPr>
      </w:pPr>
      <w:r w:rsidRPr="0089449E">
        <w:rPr>
          <w:rFonts w:ascii="Arial" w:hAnsi="Arial" w:cs="Arial"/>
          <w:szCs w:val="24"/>
        </w:rPr>
        <w:t>Designation:</w:t>
      </w:r>
      <w:r w:rsidR="0067538A" w:rsidRPr="0089449E">
        <w:rPr>
          <w:rFonts w:ascii="Arial" w:hAnsi="Arial" w:cs="Arial"/>
          <w:szCs w:val="24"/>
        </w:rPr>
        <w:tab/>
        <w:t>Chief Executive</w:t>
      </w:r>
    </w:p>
    <w:p w:rsidR="0039450A" w:rsidRPr="0089449E" w:rsidRDefault="0039450A" w:rsidP="00416BFF">
      <w:pPr>
        <w:rPr>
          <w:rFonts w:ascii="Arial" w:hAnsi="Arial" w:cs="Arial"/>
          <w:szCs w:val="24"/>
        </w:rPr>
      </w:pPr>
    </w:p>
    <w:p w:rsidR="001671A2" w:rsidRDefault="0039450A" w:rsidP="000F274B">
      <w:pPr>
        <w:rPr>
          <w:rFonts w:ascii="Arial" w:hAnsi="Arial" w:cs="Arial"/>
          <w:szCs w:val="24"/>
        </w:rPr>
      </w:pPr>
      <w:r w:rsidRPr="0089449E">
        <w:rPr>
          <w:rFonts w:ascii="Arial" w:hAnsi="Arial" w:cs="Arial"/>
          <w:szCs w:val="24"/>
        </w:rPr>
        <w:t>Date:</w:t>
      </w:r>
      <w:r w:rsidRPr="0089449E">
        <w:rPr>
          <w:rFonts w:ascii="Arial" w:hAnsi="Arial" w:cs="Arial"/>
          <w:szCs w:val="24"/>
        </w:rPr>
        <w:tab/>
      </w:r>
      <w:r w:rsidRPr="0089449E">
        <w:rPr>
          <w:rFonts w:ascii="Arial" w:hAnsi="Arial" w:cs="Arial"/>
          <w:szCs w:val="24"/>
        </w:rPr>
        <w:tab/>
      </w:r>
      <w:r w:rsidR="007C1889">
        <w:rPr>
          <w:rFonts w:ascii="Arial" w:hAnsi="Arial" w:cs="Arial"/>
          <w:szCs w:val="24"/>
        </w:rPr>
        <w:t>6 August</w:t>
      </w:r>
      <w:r w:rsidR="00050D22">
        <w:rPr>
          <w:rFonts w:ascii="Arial" w:hAnsi="Arial" w:cs="Arial"/>
          <w:szCs w:val="24"/>
        </w:rPr>
        <w:t xml:space="preserve"> 2015</w:t>
      </w:r>
    </w:p>
    <w:p w:rsidR="001671A2" w:rsidRDefault="001671A2" w:rsidP="000F274B">
      <w:pPr>
        <w:rPr>
          <w:rFonts w:ascii="Arial" w:hAnsi="Arial" w:cs="Arial"/>
          <w:szCs w:val="24"/>
        </w:rPr>
      </w:pPr>
    </w:p>
    <w:p w:rsidR="00D00C08" w:rsidRDefault="00D00C08" w:rsidP="000F274B">
      <w:pPr>
        <w:rPr>
          <w:rFonts w:ascii="Arial" w:hAnsi="Arial" w:cs="Arial"/>
          <w:szCs w:val="24"/>
        </w:rPr>
      </w:pPr>
    </w:p>
    <w:p w:rsidR="00D00C08" w:rsidRDefault="00D00C08" w:rsidP="000F274B">
      <w:pPr>
        <w:rPr>
          <w:rFonts w:ascii="Arial" w:hAnsi="Arial" w:cs="Arial"/>
          <w:szCs w:val="24"/>
        </w:rPr>
        <w:sectPr w:rsidR="00D00C08">
          <w:pgSz w:w="11906" w:h="16838"/>
          <w:pgMar w:top="1440" w:right="1440" w:bottom="1440" w:left="1440" w:header="720" w:footer="720" w:gutter="0"/>
          <w:cols w:space="720"/>
        </w:sectPr>
      </w:pPr>
    </w:p>
    <w:p w:rsidR="00D00C08" w:rsidRPr="00BA52C7" w:rsidRDefault="00D00C08" w:rsidP="00BA52C7">
      <w:pPr>
        <w:jc w:val="right"/>
        <w:rPr>
          <w:rFonts w:ascii="Arial" w:hAnsi="Arial" w:cs="Arial"/>
          <w:b/>
          <w:szCs w:val="24"/>
        </w:rPr>
      </w:pPr>
      <w:r w:rsidRPr="00BA52C7">
        <w:rPr>
          <w:rFonts w:ascii="Arial" w:hAnsi="Arial" w:cs="Arial"/>
          <w:b/>
          <w:szCs w:val="24"/>
        </w:rPr>
        <w:lastRenderedPageBreak/>
        <w:t>Appendix A</w:t>
      </w:r>
    </w:p>
    <w:p w:rsidR="00D00C08" w:rsidRPr="00BA52C7" w:rsidRDefault="00D00C08" w:rsidP="00BA52C7">
      <w:pPr>
        <w:jc w:val="right"/>
        <w:rPr>
          <w:rFonts w:ascii="Arial" w:hAnsi="Arial" w:cs="Arial"/>
          <w:b/>
          <w:szCs w:val="24"/>
        </w:rPr>
      </w:pPr>
      <w:r w:rsidRPr="00BA52C7">
        <w:rPr>
          <w:rFonts w:ascii="Arial" w:hAnsi="Arial" w:cs="Arial"/>
          <w:b/>
          <w:szCs w:val="24"/>
        </w:rPr>
        <w:t>Torrin Outdoor Centre Bookings, 2014</w:t>
      </w:r>
    </w:p>
    <w:p w:rsidR="00D00C08" w:rsidRDefault="00D00C08" w:rsidP="000F274B">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022"/>
        <w:gridCol w:w="1416"/>
        <w:gridCol w:w="3168"/>
        <w:gridCol w:w="2614"/>
      </w:tblGrid>
      <w:tr w:rsidR="00BA52C7" w:rsidRPr="00BA52C7" w:rsidTr="00BA52C7">
        <w:trPr>
          <w:trHeight w:val="300"/>
        </w:trPr>
        <w:tc>
          <w:tcPr>
            <w:tcW w:w="1106" w:type="pct"/>
            <w:gridSpan w:val="2"/>
            <w:shd w:val="clear" w:color="auto" w:fill="auto"/>
            <w:noWrap/>
            <w:vAlign w:val="bottom"/>
            <w:hideMark/>
          </w:tcPr>
          <w:p w:rsidR="00BA52C7" w:rsidRPr="00D00C08" w:rsidRDefault="00BA52C7" w:rsidP="00D00C08">
            <w:pPr>
              <w:rPr>
                <w:rFonts w:ascii="Arial" w:hAnsi="Arial" w:cs="Arial"/>
                <w:b/>
                <w:color w:val="000000"/>
                <w:szCs w:val="24"/>
              </w:rPr>
            </w:pPr>
            <w:r w:rsidRPr="00D00C08">
              <w:rPr>
                <w:rFonts w:ascii="Arial" w:hAnsi="Arial" w:cs="Arial"/>
                <w:b/>
                <w:color w:val="000000"/>
                <w:szCs w:val="24"/>
              </w:rPr>
              <w:t>Dates</w:t>
            </w:r>
          </w:p>
        </w:tc>
        <w:tc>
          <w:tcPr>
            <w:tcW w:w="766" w:type="pct"/>
            <w:shd w:val="clear" w:color="auto" w:fill="auto"/>
            <w:noWrap/>
            <w:vAlign w:val="bottom"/>
            <w:hideMark/>
          </w:tcPr>
          <w:p w:rsidR="00BA52C7" w:rsidRPr="00D00C08" w:rsidRDefault="00BA52C7" w:rsidP="00D00C08">
            <w:pPr>
              <w:rPr>
                <w:rFonts w:ascii="Arial" w:hAnsi="Arial" w:cs="Arial"/>
                <w:b/>
                <w:color w:val="000000"/>
                <w:szCs w:val="24"/>
              </w:rPr>
            </w:pPr>
            <w:r w:rsidRPr="00BA52C7">
              <w:rPr>
                <w:rFonts w:ascii="Arial" w:hAnsi="Arial" w:cs="Arial"/>
                <w:b/>
                <w:color w:val="000000"/>
                <w:szCs w:val="24"/>
              </w:rPr>
              <w:t xml:space="preserve">No. </w:t>
            </w:r>
            <w:r w:rsidRPr="00D00C08">
              <w:rPr>
                <w:rFonts w:ascii="Arial" w:hAnsi="Arial" w:cs="Arial"/>
                <w:b/>
                <w:color w:val="000000"/>
                <w:szCs w:val="24"/>
              </w:rPr>
              <w:t>Nights</w:t>
            </w:r>
          </w:p>
        </w:tc>
        <w:tc>
          <w:tcPr>
            <w:tcW w:w="1714" w:type="pct"/>
            <w:shd w:val="clear" w:color="auto" w:fill="auto"/>
            <w:noWrap/>
            <w:vAlign w:val="bottom"/>
            <w:hideMark/>
          </w:tcPr>
          <w:p w:rsidR="00BA52C7" w:rsidRPr="00D00C08" w:rsidRDefault="00BA52C7" w:rsidP="00D00C08">
            <w:pPr>
              <w:rPr>
                <w:rFonts w:ascii="Arial" w:hAnsi="Arial" w:cs="Arial"/>
                <w:b/>
                <w:color w:val="000000"/>
                <w:szCs w:val="24"/>
              </w:rPr>
            </w:pPr>
            <w:r w:rsidRPr="00D00C08">
              <w:rPr>
                <w:rFonts w:ascii="Arial" w:hAnsi="Arial" w:cs="Arial"/>
                <w:b/>
                <w:color w:val="000000"/>
                <w:szCs w:val="24"/>
              </w:rPr>
              <w:t>Charge</w:t>
            </w:r>
            <w:r w:rsidRPr="00BA52C7">
              <w:rPr>
                <w:rFonts w:ascii="Arial" w:hAnsi="Arial" w:cs="Arial"/>
                <w:b/>
                <w:color w:val="000000"/>
                <w:szCs w:val="24"/>
              </w:rPr>
              <w:t>/Night</w:t>
            </w:r>
          </w:p>
        </w:tc>
        <w:tc>
          <w:tcPr>
            <w:tcW w:w="1414" w:type="pct"/>
            <w:shd w:val="clear" w:color="auto" w:fill="auto"/>
            <w:noWrap/>
            <w:vAlign w:val="bottom"/>
            <w:hideMark/>
          </w:tcPr>
          <w:p w:rsidR="00BA52C7" w:rsidRPr="00D00C08" w:rsidRDefault="00BA52C7" w:rsidP="00C94A82">
            <w:pPr>
              <w:rPr>
                <w:rFonts w:ascii="Arial" w:hAnsi="Arial" w:cs="Arial"/>
                <w:b/>
                <w:color w:val="000000"/>
                <w:szCs w:val="24"/>
              </w:rPr>
            </w:pPr>
            <w:r w:rsidRPr="00D00C08">
              <w:rPr>
                <w:rFonts w:ascii="Arial" w:hAnsi="Arial" w:cs="Arial"/>
                <w:b/>
                <w:color w:val="000000"/>
                <w:szCs w:val="24"/>
              </w:rPr>
              <w:t xml:space="preserve">Income </w:t>
            </w:r>
            <w:r>
              <w:rPr>
                <w:rFonts w:ascii="Arial" w:hAnsi="Arial" w:cs="Arial"/>
                <w:b/>
                <w:color w:val="000000"/>
                <w:szCs w:val="24"/>
              </w:rPr>
              <w:t>excl</w:t>
            </w:r>
            <w:r w:rsidR="00C94A82">
              <w:rPr>
                <w:rFonts w:ascii="Arial" w:hAnsi="Arial" w:cs="Arial"/>
                <w:b/>
                <w:color w:val="000000"/>
                <w:szCs w:val="24"/>
              </w:rPr>
              <w:t>.</w:t>
            </w:r>
            <w:r>
              <w:rPr>
                <w:rFonts w:ascii="Arial" w:hAnsi="Arial" w:cs="Arial"/>
                <w:b/>
                <w:color w:val="000000"/>
                <w:szCs w:val="24"/>
              </w:rPr>
              <w:t xml:space="preserve"> electric charges</w:t>
            </w:r>
            <w:r w:rsidRPr="00D00C08">
              <w:rPr>
                <w:rFonts w:ascii="Arial" w:hAnsi="Arial" w:cs="Arial"/>
                <w:b/>
                <w:color w:val="000000"/>
                <w:szCs w:val="24"/>
              </w:rPr>
              <w:t>(£)</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07-Mar</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09-Mar</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90</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180</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21-Mar</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23-Mar</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45</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90</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28-Mar</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30-Mar</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90</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180</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31-Mar</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01-Apr</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90</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90</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05-Apr</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19-Apr</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14</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90</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1260</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25-Apr</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27-Apr</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90</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180</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30-Apr</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01-May</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45</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45</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16-May</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18-May</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90</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180</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23-May</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25-May</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45</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90</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26-May</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09-Jun</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14</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45</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630</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06-Jun</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08-Jun</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45</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90</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10-Jun</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10-Jul</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30</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53</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1600</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11-Jul</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14-Jul</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3</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45</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135</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14-Aug</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15-Aug</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45</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45</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15-Jul</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17-Aug</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33</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90</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2970</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08-Sep</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12-Sep</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4</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90</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360</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19-Sep</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21-Sep</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90</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180</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14-Nov</w:t>
            </w:r>
          </w:p>
        </w:tc>
        <w:tc>
          <w:tcPr>
            <w:tcW w:w="553"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16-Nov</w:t>
            </w:r>
          </w:p>
        </w:tc>
        <w:tc>
          <w:tcPr>
            <w:tcW w:w="766"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2</w:t>
            </w:r>
          </w:p>
        </w:tc>
        <w:tc>
          <w:tcPr>
            <w:tcW w:w="17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90</w:t>
            </w:r>
          </w:p>
        </w:tc>
        <w:tc>
          <w:tcPr>
            <w:tcW w:w="1414" w:type="pct"/>
            <w:shd w:val="clear" w:color="auto" w:fill="auto"/>
            <w:noWrap/>
            <w:vAlign w:val="bottom"/>
            <w:hideMark/>
          </w:tcPr>
          <w:p w:rsidR="00D00C08" w:rsidRPr="00D00C08" w:rsidRDefault="00D00C08" w:rsidP="00D00C08">
            <w:pPr>
              <w:jc w:val="right"/>
              <w:rPr>
                <w:rFonts w:ascii="Arial" w:hAnsi="Arial" w:cs="Arial"/>
                <w:color w:val="000000"/>
                <w:szCs w:val="24"/>
              </w:rPr>
            </w:pPr>
            <w:r w:rsidRPr="00D00C08">
              <w:rPr>
                <w:rFonts w:ascii="Arial" w:hAnsi="Arial" w:cs="Arial"/>
                <w:color w:val="000000"/>
                <w:szCs w:val="24"/>
              </w:rPr>
              <w:t>180</w:t>
            </w:r>
          </w:p>
        </w:tc>
      </w:tr>
      <w:tr w:rsidR="00BA52C7" w:rsidRPr="00D00C08" w:rsidTr="00BA52C7">
        <w:trPr>
          <w:trHeight w:val="300"/>
        </w:trPr>
        <w:tc>
          <w:tcPr>
            <w:tcW w:w="553" w:type="pct"/>
            <w:shd w:val="clear" w:color="auto" w:fill="auto"/>
            <w:noWrap/>
            <w:vAlign w:val="bottom"/>
            <w:hideMark/>
          </w:tcPr>
          <w:p w:rsidR="00D00C08" w:rsidRPr="00D00C08" w:rsidRDefault="00D00C08" w:rsidP="00D00C08">
            <w:pPr>
              <w:rPr>
                <w:rFonts w:ascii="Arial" w:hAnsi="Arial" w:cs="Arial"/>
                <w:b/>
                <w:bCs/>
                <w:color w:val="000000"/>
                <w:szCs w:val="24"/>
              </w:rPr>
            </w:pPr>
          </w:p>
        </w:tc>
        <w:tc>
          <w:tcPr>
            <w:tcW w:w="553" w:type="pct"/>
            <w:shd w:val="clear" w:color="auto" w:fill="auto"/>
            <w:noWrap/>
            <w:vAlign w:val="bottom"/>
            <w:hideMark/>
          </w:tcPr>
          <w:p w:rsidR="00D00C08" w:rsidRPr="00D00C08" w:rsidRDefault="00D00C08" w:rsidP="00D00C08">
            <w:pPr>
              <w:rPr>
                <w:rFonts w:ascii="Arial" w:hAnsi="Arial" w:cs="Arial"/>
                <w:b/>
                <w:bCs/>
                <w:color w:val="000000"/>
                <w:szCs w:val="24"/>
              </w:rPr>
            </w:pPr>
          </w:p>
        </w:tc>
        <w:tc>
          <w:tcPr>
            <w:tcW w:w="766" w:type="pct"/>
            <w:shd w:val="clear" w:color="auto" w:fill="auto"/>
            <w:noWrap/>
            <w:vAlign w:val="bottom"/>
            <w:hideMark/>
          </w:tcPr>
          <w:p w:rsidR="00D00C08" w:rsidRPr="00D00C08" w:rsidRDefault="00D00C08" w:rsidP="00D00C08">
            <w:pPr>
              <w:jc w:val="right"/>
              <w:rPr>
                <w:rFonts w:ascii="Arial" w:hAnsi="Arial" w:cs="Arial"/>
                <w:b/>
                <w:bCs/>
                <w:color w:val="000000"/>
                <w:szCs w:val="24"/>
              </w:rPr>
            </w:pPr>
            <w:r w:rsidRPr="00D00C08">
              <w:rPr>
                <w:rFonts w:ascii="Arial" w:hAnsi="Arial" w:cs="Arial"/>
                <w:b/>
                <w:bCs/>
                <w:color w:val="000000"/>
                <w:szCs w:val="24"/>
              </w:rPr>
              <w:t>119</w:t>
            </w:r>
          </w:p>
        </w:tc>
        <w:tc>
          <w:tcPr>
            <w:tcW w:w="1714" w:type="pct"/>
            <w:shd w:val="clear" w:color="auto" w:fill="auto"/>
            <w:noWrap/>
            <w:vAlign w:val="bottom"/>
            <w:hideMark/>
          </w:tcPr>
          <w:p w:rsidR="00D00C08" w:rsidRPr="00D00C08" w:rsidRDefault="00D00C08" w:rsidP="00D00C08">
            <w:pPr>
              <w:rPr>
                <w:rFonts w:ascii="Arial" w:hAnsi="Arial" w:cs="Arial"/>
                <w:b/>
                <w:bCs/>
                <w:color w:val="000000"/>
                <w:szCs w:val="24"/>
              </w:rPr>
            </w:pPr>
          </w:p>
        </w:tc>
        <w:tc>
          <w:tcPr>
            <w:tcW w:w="1414" w:type="pct"/>
            <w:shd w:val="clear" w:color="auto" w:fill="auto"/>
            <w:noWrap/>
            <w:vAlign w:val="bottom"/>
            <w:hideMark/>
          </w:tcPr>
          <w:p w:rsidR="00D00C08" w:rsidRPr="00D00C08" w:rsidRDefault="00D00C08" w:rsidP="00D00C08">
            <w:pPr>
              <w:jc w:val="right"/>
              <w:rPr>
                <w:rFonts w:ascii="Arial" w:hAnsi="Arial" w:cs="Arial"/>
                <w:b/>
                <w:bCs/>
                <w:color w:val="000000"/>
                <w:szCs w:val="24"/>
              </w:rPr>
            </w:pPr>
            <w:r w:rsidRPr="00D00C08">
              <w:rPr>
                <w:rFonts w:ascii="Arial" w:hAnsi="Arial" w:cs="Arial"/>
                <w:b/>
                <w:bCs/>
                <w:color w:val="000000"/>
                <w:szCs w:val="24"/>
              </w:rPr>
              <w:t>8485</w:t>
            </w:r>
          </w:p>
        </w:tc>
      </w:tr>
    </w:tbl>
    <w:p w:rsidR="00D00C08" w:rsidRDefault="00D00C08" w:rsidP="000F274B">
      <w:pPr>
        <w:rPr>
          <w:rFonts w:ascii="Arial" w:hAnsi="Arial" w:cs="Arial"/>
          <w:szCs w:val="24"/>
        </w:rPr>
        <w:sectPr w:rsidR="00D00C08">
          <w:pgSz w:w="11906" w:h="16838"/>
          <w:pgMar w:top="1440" w:right="1440" w:bottom="1440" w:left="1440" w:header="720" w:footer="720" w:gutter="0"/>
          <w:cols w:space="720"/>
        </w:sectPr>
      </w:pPr>
    </w:p>
    <w:p w:rsidR="001671A2" w:rsidRDefault="001671A2" w:rsidP="001671A2">
      <w:pPr>
        <w:jc w:val="right"/>
        <w:rPr>
          <w:rFonts w:ascii="Arial" w:hAnsi="Arial" w:cs="Arial"/>
          <w:b/>
          <w:noProof/>
          <w:szCs w:val="24"/>
        </w:rPr>
      </w:pPr>
      <w:r w:rsidRPr="00377627">
        <w:rPr>
          <w:rFonts w:ascii="Arial" w:hAnsi="Arial" w:cs="Arial"/>
          <w:b/>
          <w:noProof/>
          <w:szCs w:val="24"/>
        </w:rPr>
        <w:lastRenderedPageBreak/>
        <w:t xml:space="preserve">Appendix </w:t>
      </w:r>
      <w:r w:rsidR="00BA52C7">
        <w:rPr>
          <w:rFonts w:ascii="Arial" w:hAnsi="Arial" w:cs="Arial"/>
          <w:b/>
          <w:noProof/>
          <w:szCs w:val="24"/>
        </w:rPr>
        <w:t>B</w:t>
      </w:r>
    </w:p>
    <w:p w:rsidR="00A45BEE" w:rsidRDefault="00A45BEE" w:rsidP="001671A2">
      <w:pPr>
        <w:jc w:val="right"/>
        <w:rPr>
          <w:rFonts w:ascii="Arial" w:hAnsi="Arial" w:cs="Arial"/>
          <w:b/>
          <w:noProof/>
          <w:szCs w:val="24"/>
        </w:rPr>
      </w:pPr>
      <w:r>
        <w:rPr>
          <w:rFonts w:ascii="Arial" w:hAnsi="Arial" w:cs="Arial"/>
          <w:b/>
          <w:noProof/>
          <w:szCs w:val="24"/>
        </w:rPr>
        <w:t>Torrin Outdoor Centre Refurbishment Architect Drawing</w:t>
      </w:r>
    </w:p>
    <w:p w:rsidR="00A45BEE" w:rsidRDefault="00A45BEE" w:rsidP="001671A2">
      <w:pPr>
        <w:jc w:val="right"/>
        <w:rPr>
          <w:rFonts w:ascii="Arial" w:hAnsi="Arial" w:cs="Arial"/>
          <w:b/>
          <w:noProof/>
          <w:szCs w:val="24"/>
        </w:rPr>
      </w:pPr>
    </w:p>
    <w:p w:rsidR="006702D2" w:rsidRDefault="00A45BEE" w:rsidP="00A45BEE">
      <w:pPr>
        <w:jc w:val="center"/>
        <w:rPr>
          <w:rFonts w:ascii="Arial" w:hAnsi="Arial" w:cs="Arial"/>
          <w:b/>
          <w:noProof/>
          <w:szCs w:val="24"/>
        </w:rPr>
        <w:sectPr w:rsidR="006702D2" w:rsidSect="00A45BEE">
          <w:pgSz w:w="16838" w:h="11906" w:orient="landscape"/>
          <w:pgMar w:top="720" w:right="720" w:bottom="720" w:left="720" w:header="720" w:footer="720" w:gutter="0"/>
          <w:cols w:space="720"/>
          <w:docGrid w:linePitch="326"/>
        </w:sectPr>
      </w:pPr>
      <w:r>
        <w:rPr>
          <w:noProof/>
        </w:rPr>
        <w:drawing>
          <wp:inline distT="0" distB="0" distL="0" distR="0" wp14:anchorId="392306CB" wp14:editId="0FC87071">
            <wp:extent cx="8712966" cy="609069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712966" cy="6090699"/>
                    </a:xfrm>
                    <a:prstGeom prst="rect">
                      <a:avLst/>
                    </a:prstGeom>
                  </pic:spPr>
                </pic:pic>
              </a:graphicData>
            </a:graphic>
          </wp:inline>
        </w:drawing>
      </w:r>
    </w:p>
    <w:p w:rsidR="00A45BEE" w:rsidRDefault="00A45BEE" w:rsidP="00A45BEE">
      <w:pPr>
        <w:jc w:val="center"/>
        <w:rPr>
          <w:rFonts w:ascii="Arial" w:hAnsi="Arial" w:cs="Arial"/>
          <w:b/>
          <w:noProof/>
          <w:szCs w:val="24"/>
        </w:rPr>
      </w:pPr>
    </w:p>
    <w:p w:rsidR="00A45BEE" w:rsidRDefault="00A45BEE" w:rsidP="00A45BEE">
      <w:pPr>
        <w:jc w:val="right"/>
        <w:rPr>
          <w:rFonts w:ascii="Arial" w:hAnsi="Arial" w:cs="Arial"/>
          <w:b/>
          <w:noProof/>
          <w:szCs w:val="24"/>
        </w:rPr>
      </w:pPr>
      <w:r>
        <w:rPr>
          <w:rFonts w:ascii="Arial" w:hAnsi="Arial" w:cs="Arial"/>
          <w:b/>
          <w:noProof/>
          <w:szCs w:val="24"/>
        </w:rPr>
        <w:t xml:space="preserve">Appendix </w:t>
      </w:r>
      <w:r w:rsidR="00BA52C7">
        <w:rPr>
          <w:rFonts w:ascii="Arial" w:hAnsi="Arial" w:cs="Arial"/>
          <w:b/>
          <w:noProof/>
          <w:szCs w:val="24"/>
        </w:rPr>
        <w:t>C</w:t>
      </w:r>
    </w:p>
    <w:p w:rsidR="00A45BEE" w:rsidRDefault="00A45BEE" w:rsidP="00A45BEE">
      <w:pPr>
        <w:jc w:val="right"/>
        <w:rPr>
          <w:rFonts w:ascii="Arial" w:hAnsi="Arial" w:cs="Arial"/>
          <w:b/>
          <w:noProof/>
          <w:szCs w:val="24"/>
        </w:rPr>
      </w:pPr>
      <w:r>
        <w:rPr>
          <w:rFonts w:ascii="Arial" w:hAnsi="Arial" w:cs="Arial"/>
          <w:b/>
          <w:noProof/>
          <w:szCs w:val="24"/>
        </w:rPr>
        <w:t>Torrin Outdoor Centre Refurbishment QS Cost Estimates</w:t>
      </w:r>
    </w:p>
    <w:p w:rsidR="000F7AD2" w:rsidRDefault="000F7AD2" w:rsidP="000F7AD2">
      <w:pPr>
        <w:rPr>
          <w:rFonts w:ascii="Arial" w:hAnsi="Arial" w:cs="Arial"/>
          <w:b/>
          <w:noProof/>
          <w:szCs w:val="24"/>
        </w:rPr>
      </w:pPr>
    </w:p>
    <w:p w:rsidR="000F7AD2" w:rsidRDefault="000F7AD2" w:rsidP="000F7AD2">
      <w:pPr>
        <w:rPr>
          <w:rFonts w:ascii="Arial" w:eastAsia="Arial" w:hAnsi="Arial" w:cs="Arial"/>
          <w:b/>
          <w:bCs/>
          <w:szCs w:val="24"/>
        </w:rPr>
      </w:pPr>
      <w:r>
        <w:rPr>
          <w:rFonts w:ascii="Arial" w:eastAsia="Arial" w:hAnsi="Arial" w:cs="Arial"/>
          <w:b/>
          <w:bCs/>
          <w:szCs w:val="24"/>
        </w:rPr>
        <w:t xml:space="preserve"> Description</w:t>
      </w:r>
      <w:r>
        <w:rPr>
          <w:rFonts w:ascii="Arial" w:eastAsia="Arial" w:hAnsi="Arial" w:cs="Arial"/>
          <w:b/>
          <w:bCs/>
          <w:szCs w:val="24"/>
        </w:rPr>
        <w:tab/>
        <w:t xml:space="preserve">                   </w:t>
      </w:r>
      <w:proofErr w:type="gramStart"/>
      <w:r>
        <w:rPr>
          <w:rFonts w:ascii="Arial" w:eastAsia="Arial" w:hAnsi="Arial" w:cs="Arial"/>
          <w:b/>
          <w:bCs/>
          <w:szCs w:val="24"/>
        </w:rPr>
        <w:t>Quantity  Units</w:t>
      </w:r>
      <w:proofErr w:type="gramEnd"/>
      <w:r>
        <w:rPr>
          <w:rFonts w:ascii="Arial" w:eastAsia="Arial" w:hAnsi="Arial" w:cs="Arial"/>
          <w:b/>
          <w:bCs/>
          <w:szCs w:val="24"/>
        </w:rPr>
        <w:t xml:space="preserve">       Rate</w:t>
      </w:r>
      <w:r>
        <w:rPr>
          <w:rFonts w:ascii="Arial" w:eastAsia="Arial" w:hAnsi="Arial" w:cs="Arial"/>
          <w:b/>
          <w:bCs/>
          <w:szCs w:val="24"/>
        </w:rPr>
        <w:tab/>
        <w:t xml:space="preserve">           Amount</w:t>
      </w:r>
      <w:r>
        <w:rPr>
          <w:rFonts w:ascii="Arial" w:eastAsia="Arial" w:hAnsi="Arial" w:cs="Arial"/>
          <w:b/>
          <w:bCs/>
          <w:spacing w:val="-8"/>
          <w:szCs w:val="24"/>
        </w:rPr>
        <w:t xml:space="preserve"> </w:t>
      </w:r>
      <w:r>
        <w:rPr>
          <w:rFonts w:ascii="Arial" w:eastAsia="Arial" w:hAnsi="Arial" w:cs="Arial"/>
          <w:b/>
          <w:bCs/>
          <w:szCs w:val="24"/>
        </w:rPr>
        <w:t>(R)</w:t>
      </w:r>
      <w:r>
        <w:rPr>
          <w:rFonts w:ascii="Arial" w:eastAsia="Arial" w:hAnsi="Arial" w:cs="Arial"/>
          <w:b/>
          <w:bCs/>
          <w:szCs w:val="24"/>
        </w:rPr>
        <w:tab/>
        <w:t xml:space="preserve">Cost/m2       %  </w:t>
      </w:r>
    </w:p>
    <w:p w:rsidR="000F7AD2" w:rsidRDefault="000F7AD2" w:rsidP="000F7AD2">
      <w:pPr>
        <w:rPr>
          <w:rFonts w:ascii="Arial" w:eastAsia="Arial" w:hAnsi="Arial" w:cs="Arial"/>
          <w:b/>
          <w:bCs/>
          <w:szCs w:val="24"/>
        </w:rPr>
      </w:pPr>
      <w:r>
        <w:rPr>
          <w:rFonts w:ascii="Arial" w:eastAsia="Arial" w:hAnsi="Arial" w:cs="Arial"/>
          <w:b/>
          <w:bCs/>
          <w:szCs w:val="24"/>
        </w:rPr>
        <w:t xml:space="preserve"> </w:t>
      </w:r>
      <w:proofErr w:type="spellStart"/>
      <w:r>
        <w:rPr>
          <w:rFonts w:ascii="Arial" w:eastAsia="Arial" w:hAnsi="Arial" w:cs="Arial"/>
          <w:b/>
          <w:bCs/>
          <w:szCs w:val="24"/>
        </w:rPr>
        <w:t>Torrin</w:t>
      </w:r>
      <w:proofErr w:type="spellEnd"/>
      <w:r>
        <w:rPr>
          <w:rFonts w:ascii="Arial" w:eastAsia="Arial" w:hAnsi="Arial" w:cs="Arial"/>
          <w:b/>
          <w:bCs/>
          <w:spacing w:val="-6"/>
          <w:szCs w:val="24"/>
        </w:rPr>
        <w:t xml:space="preserve"> </w:t>
      </w:r>
      <w:r>
        <w:rPr>
          <w:rFonts w:ascii="Arial" w:eastAsia="Arial" w:hAnsi="Arial" w:cs="Arial"/>
          <w:b/>
          <w:bCs/>
          <w:szCs w:val="24"/>
        </w:rPr>
        <w:t>Outdoor</w:t>
      </w:r>
      <w:r>
        <w:rPr>
          <w:rFonts w:ascii="Arial" w:eastAsia="Arial" w:hAnsi="Arial" w:cs="Arial"/>
          <w:b/>
          <w:bCs/>
          <w:spacing w:val="-8"/>
          <w:szCs w:val="24"/>
        </w:rPr>
        <w:t xml:space="preserve"> </w:t>
      </w:r>
      <w:r>
        <w:rPr>
          <w:rFonts w:ascii="Arial" w:eastAsia="Arial" w:hAnsi="Arial" w:cs="Arial"/>
          <w:b/>
          <w:bCs/>
          <w:szCs w:val="24"/>
        </w:rPr>
        <w:t>Centre</w:t>
      </w:r>
      <w:r>
        <w:rPr>
          <w:rFonts w:ascii="Arial" w:eastAsia="Arial" w:hAnsi="Arial" w:cs="Arial"/>
          <w:b/>
          <w:bCs/>
          <w:spacing w:val="-6"/>
          <w:szCs w:val="24"/>
        </w:rPr>
        <w:t xml:space="preserve"> </w:t>
      </w:r>
      <w:r>
        <w:rPr>
          <w:rFonts w:ascii="Arial" w:eastAsia="Arial" w:hAnsi="Arial" w:cs="Arial"/>
          <w:b/>
          <w:bCs/>
          <w:szCs w:val="24"/>
        </w:rPr>
        <w:t>-</w:t>
      </w:r>
      <w:r>
        <w:rPr>
          <w:rFonts w:ascii="Arial" w:eastAsia="Arial" w:hAnsi="Arial" w:cs="Arial"/>
          <w:szCs w:val="24"/>
        </w:rPr>
        <w:t xml:space="preserve"> </w:t>
      </w:r>
      <w:r>
        <w:rPr>
          <w:rFonts w:ascii="Arial" w:eastAsia="Arial" w:hAnsi="Arial" w:cs="Arial"/>
          <w:b/>
          <w:bCs/>
          <w:szCs w:val="24"/>
        </w:rPr>
        <w:t>Redevelopment</w:t>
      </w:r>
    </w:p>
    <w:p w:rsidR="000F7AD2" w:rsidRDefault="000F7AD2" w:rsidP="000F7AD2">
      <w:pPr>
        <w:spacing w:before="7" w:line="110" w:lineRule="exact"/>
        <w:ind w:hanging="2"/>
        <w:rPr>
          <w:rFonts w:ascii="Arial" w:eastAsiaTheme="minorHAnsi" w:hAnsi="Arial" w:cs="Arial"/>
          <w:szCs w:val="24"/>
        </w:rPr>
      </w:pPr>
    </w:p>
    <w:p w:rsidR="000F7AD2" w:rsidRDefault="000F7AD2" w:rsidP="000F7AD2">
      <w:pPr>
        <w:spacing w:line="200" w:lineRule="exact"/>
        <w:ind w:hanging="2"/>
        <w:rPr>
          <w:rFonts w:ascii="Arial" w:hAnsi="Arial" w:cs="Arial"/>
          <w:szCs w:val="24"/>
        </w:rPr>
      </w:pPr>
    </w:p>
    <w:p w:rsidR="000F7AD2" w:rsidRDefault="000F7AD2" w:rsidP="000F7AD2">
      <w:pPr>
        <w:rPr>
          <w:rFonts w:ascii="Arial" w:eastAsia="Arial" w:hAnsi="Arial" w:cs="Arial"/>
          <w:b/>
          <w:bCs/>
          <w:szCs w:val="24"/>
        </w:rPr>
      </w:pPr>
      <w:r>
        <w:rPr>
          <w:rFonts w:ascii="Arial" w:eastAsia="Arial" w:hAnsi="Arial" w:cs="Arial"/>
          <w:b/>
          <w:bCs/>
          <w:szCs w:val="24"/>
        </w:rPr>
        <w:t xml:space="preserve"> </w:t>
      </w:r>
      <w:proofErr w:type="spellStart"/>
      <w:r>
        <w:rPr>
          <w:rFonts w:ascii="Arial" w:eastAsia="Arial" w:hAnsi="Arial" w:cs="Arial"/>
          <w:b/>
          <w:bCs/>
          <w:szCs w:val="24"/>
        </w:rPr>
        <w:t>Torrin</w:t>
      </w:r>
      <w:proofErr w:type="spellEnd"/>
      <w:r>
        <w:rPr>
          <w:rFonts w:ascii="Arial" w:eastAsia="Arial" w:hAnsi="Arial" w:cs="Arial"/>
          <w:b/>
          <w:bCs/>
          <w:spacing w:val="-6"/>
          <w:szCs w:val="24"/>
        </w:rPr>
        <w:t xml:space="preserve"> </w:t>
      </w:r>
      <w:r>
        <w:rPr>
          <w:rFonts w:ascii="Arial" w:eastAsia="Arial" w:hAnsi="Arial" w:cs="Arial"/>
          <w:b/>
          <w:bCs/>
          <w:szCs w:val="24"/>
        </w:rPr>
        <w:t>Outdoor</w:t>
      </w:r>
      <w:r>
        <w:rPr>
          <w:rFonts w:ascii="Arial" w:eastAsia="Arial" w:hAnsi="Arial" w:cs="Arial"/>
          <w:b/>
          <w:bCs/>
          <w:spacing w:val="-8"/>
          <w:szCs w:val="24"/>
        </w:rPr>
        <w:t xml:space="preserve"> </w:t>
      </w:r>
      <w:r>
        <w:rPr>
          <w:rFonts w:ascii="Arial" w:eastAsia="Arial" w:hAnsi="Arial" w:cs="Arial"/>
          <w:b/>
          <w:bCs/>
          <w:szCs w:val="24"/>
        </w:rPr>
        <w:t>Centre</w:t>
      </w:r>
      <w:r>
        <w:rPr>
          <w:rFonts w:ascii="Arial" w:eastAsia="Arial" w:hAnsi="Arial" w:cs="Arial"/>
          <w:b/>
          <w:bCs/>
          <w:spacing w:val="-6"/>
          <w:szCs w:val="24"/>
        </w:rPr>
        <w:t xml:space="preserve"> </w:t>
      </w:r>
      <w:r>
        <w:rPr>
          <w:rFonts w:ascii="Arial" w:eastAsia="Arial" w:hAnsi="Arial" w:cs="Arial"/>
          <w:b/>
          <w:bCs/>
          <w:szCs w:val="24"/>
        </w:rPr>
        <w:t>- alterations, upgrading</w:t>
      </w:r>
      <w:r>
        <w:rPr>
          <w:rFonts w:ascii="Arial" w:eastAsia="Arial" w:hAnsi="Arial" w:cs="Arial"/>
          <w:b/>
          <w:bCs/>
          <w:spacing w:val="-10"/>
          <w:szCs w:val="24"/>
        </w:rPr>
        <w:t xml:space="preserve"> </w:t>
      </w:r>
      <w:r>
        <w:rPr>
          <w:rFonts w:ascii="Arial" w:eastAsia="Arial" w:hAnsi="Arial" w:cs="Arial"/>
          <w:b/>
          <w:bCs/>
          <w:szCs w:val="24"/>
        </w:rPr>
        <w:t>and</w:t>
      </w:r>
      <w:r>
        <w:rPr>
          <w:rFonts w:ascii="Arial" w:eastAsia="Arial" w:hAnsi="Arial" w:cs="Arial"/>
          <w:b/>
          <w:bCs/>
          <w:spacing w:val="-4"/>
          <w:szCs w:val="24"/>
        </w:rPr>
        <w:t xml:space="preserve"> </w:t>
      </w:r>
      <w:r>
        <w:rPr>
          <w:rFonts w:ascii="Arial" w:eastAsia="Arial" w:hAnsi="Arial" w:cs="Arial"/>
          <w:b/>
          <w:bCs/>
          <w:szCs w:val="24"/>
        </w:rPr>
        <w:t>extension</w:t>
      </w:r>
    </w:p>
    <w:p w:rsidR="000F7AD2" w:rsidRDefault="000F7AD2" w:rsidP="000F7AD2">
      <w:pPr>
        <w:rPr>
          <w:rFonts w:ascii="Arial" w:eastAsia="Arial" w:hAnsi="Arial" w:cs="Arial"/>
          <w:b/>
          <w:bCs/>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4711"/>
        <w:gridCol w:w="1999"/>
        <w:gridCol w:w="984"/>
        <w:gridCol w:w="1341"/>
        <w:gridCol w:w="643"/>
      </w:tblGrid>
      <w:tr w:rsidR="000F7AD2" w:rsidTr="000F7AD2">
        <w:trPr>
          <w:trHeight w:hRule="exact" w:val="327"/>
        </w:trPr>
        <w:tc>
          <w:tcPr>
            <w:tcW w:w="4711" w:type="dxa"/>
            <w:hideMark/>
          </w:tcPr>
          <w:p w:rsidR="000F7AD2" w:rsidRDefault="000F7AD2">
            <w:pPr>
              <w:spacing w:after="160" w:line="256" w:lineRule="auto"/>
              <w:ind w:left="-103" w:firstLine="103"/>
              <w:rPr>
                <w:rFonts w:ascii="Arial" w:hAnsi="Arial" w:cs="Arial"/>
                <w:szCs w:val="24"/>
                <w:lang w:val="en-US" w:eastAsia="en-US"/>
              </w:rPr>
            </w:pPr>
            <w:r>
              <w:rPr>
                <w:rFonts w:ascii="Arial" w:hAnsi="Arial" w:cs="Arial"/>
                <w:szCs w:val="24"/>
                <w:lang w:val="en-US"/>
              </w:rPr>
              <w:t>Demolitions</w:t>
            </w:r>
          </w:p>
        </w:tc>
        <w:tc>
          <w:tcPr>
            <w:tcW w:w="1999" w:type="dxa"/>
          </w:tcPr>
          <w:p w:rsidR="000F7AD2" w:rsidRDefault="000F7AD2">
            <w:pPr>
              <w:spacing w:after="160" w:line="256" w:lineRule="auto"/>
              <w:rPr>
                <w:rFonts w:ascii="Arial" w:hAnsi="Arial" w:cs="Arial"/>
                <w:szCs w:val="24"/>
                <w:lang w:val="en-US" w:eastAsia="en-US"/>
              </w:rPr>
            </w:pPr>
          </w:p>
        </w:tc>
        <w:tc>
          <w:tcPr>
            <w:tcW w:w="984"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17,546</w:t>
            </w:r>
          </w:p>
        </w:tc>
        <w:tc>
          <w:tcPr>
            <w:tcW w:w="1341" w:type="dxa"/>
          </w:tcPr>
          <w:p w:rsidR="000F7AD2" w:rsidRDefault="000F7AD2">
            <w:pPr>
              <w:spacing w:after="160" w:line="256" w:lineRule="auto"/>
              <w:rPr>
                <w:rFonts w:ascii="Arial" w:hAnsi="Arial" w:cs="Arial"/>
                <w:szCs w:val="24"/>
                <w:lang w:val="en-US" w:eastAsia="en-US"/>
              </w:rPr>
            </w:pPr>
          </w:p>
        </w:tc>
        <w:tc>
          <w:tcPr>
            <w:tcW w:w="643"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3.8</w:t>
            </w:r>
          </w:p>
        </w:tc>
      </w:tr>
      <w:tr w:rsidR="000F7AD2" w:rsidTr="000F7AD2">
        <w:trPr>
          <w:trHeight w:hRule="exact" w:val="327"/>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Substructure extension</w:t>
            </w:r>
          </w:p>
        </w:tc>
        <w:tc>
          <w:tcPr>
            <w:tcW w:w="1999"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w:t>
            </w:r>
          </w:p>
        </w:tc>
        <w:tc>
          <w:tcPr>
            <w:tcW w:w="984"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9,225</w:t>
            </w:r>
          </w:p>
        </w:tc>
        <w:tc>
          <w:tcPr>
            <w:tcW w:w="1341" w:type="dxa"/>
          </w:tcPr>
          <w:p w:rsidR="000F7AD2" w:rsidRDefault="000F7AD2">
            <w:pPr>
              <w:spacing w:after="160" w:line="256" w:lineRule="auto"/>
              <w:rPr>
                <w:rFonts w:ascii="Arial" w:hAnsi="Arial" w:cs="Arial"/>
                <w:szCs w:val="24"/>
                <w:lang w:val="en-US" w:eastAsia="en-US"/>
              </w:rPr>
            </w:pPr>
          </w:p>
        </w:tc>
        <w:tc>
          <w:tcPr>
            <w:tcW w:w="643"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2.0</w:t>
            </w:r>
          </w:p>
        </w:tc>
      </w:tr>
      <w:tr w:rsidR="000F7AD2" w:rsidTr="000F7AD2">
        <w:trPr>
          <w:trHeight w:hRule="exact" w:val="327"/>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Superstructure extension</w:t>
            </w:r>
          </w:p>
        </w:tc>
        <w:tc>
          <w:tcPr>
            <w:tcW w:w="1999" w:type="dxa"/>
          </w:tcPr>
          <w:p w:rsidR="000F7AD2" w:rsidRDefault="000F7AD2">
            <w:pPr>
              <w:spacing w:after="160" w:line="256" w:lineRule="auto"/>
              <w:rPr>
                <w:rFonts w:ascii="Arial" w:hAnsi="Arial" w:cs="Arial"/>
                <w:szCs w:val="24"/>
                <w:lang w:val="en-US" w:eastAsia="en-US"/>
              </w:rPr>
            </w:pPr>
          </w:p>
        </w:tc>
        <w:tc>
          <w:tcPr>
            <w:tcW w:w="984"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143,093</w:t>
            </w:r>
          </w:p>
        </w:tc>
        <w:tc>
          <w:tcPr>
            <w:tcW w:w="1341" w:type="dxa"/>
          </w:tcPr>
          <w:p w:rsidR="000F7AD2" w:rsidRDefault="000F7AD2">
            <w:pPr>
              <w:spacing w:after="160" w:line="256" w:lineRule="auto"/>
              <w:rPr>
                <w:rFonts w:ascii="Arial" w:hAnsi="Arial" w:cs="Arial"/>
                <w:szCs w:val="24"/>
                <w:lang w:val="en-US" w:eastAsia="en-US"/>
              </w:rPr>
            </w:pPr>
          </w:p>
        </w:tc>
        <w:tc>
          <w:tcPr>
            <w:tcW w:w="643"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31.1</w:t>
            </w:r>
          </w:p>
        </w:tc>
      </w:tr>
      <w:tr w:rsidR="000F7AD2" w:rsidTr="000F7AD2">
        <w:trPr>
          <w:trHeight w:hRule="exact" w:val="327"/>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Existing building</w:t>
            </w:r>
          </w:p>
        </w:tc>
        <w:tc>
          <w:tcPr>
            <w:tcW w:w="1999" w:type="dxa"/>
          </w:tcPr>
          <w:p w:rsidR="000F7AD2" w:rsidRDefault="000F7AD2">
            <w:pPr>
              <w:spacing w:after="160" w:line="256" w:lineRule="auto"/>
              <w:rPr>
                <w:rFonts w:ascii="Arial" w:hAnsi="Arial" w:cs="Arial"/>
                <w:szCs w:val="24"/>
                <w:lang w:val="en-US" w:eastAsia="en-US"/>
              </w:rPr>
            </w:pPr>
          </w:p>
        </w:tc>
        <w:tc>
          <w:tcPr>
            <w:tcW w:w="984"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80,202</w:t>
            </w:r>
          </w:p>
        </w:tc>
        <w:tc>
          <w:tcPr>
            <w:tcW w:w="1341" w:type="dxa"/>
          </w:tcPr>
          <w:p w:rsidR="000F7AD2" w:rsidRDefault="000F7AD2">
            <w:pPr>
              <w:spacing w:after="160" w:line="256" w:lineRule="auto"/>
              <w:rPr>
                <w:rFonts w:ascii="Arial" w:hAnsi="Arial" w:cs="Arial"/>
                <w:szCs w:val="24"/>
                <w:lang w:val="en-US" w:eastAsia="en-US"/>
              </w:rPr>
            </w:pPr>
          </w:p>
        </w:tc>
        <w:tc>
          <w:tcPr>
            <w:tcW w:w="643"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17.4</w:t>
            </w:r>
          </w:p>
        </w:tc>
      </w:tr>
      <w:tr w:rsidR="000F7AD2" w:rsidTr="000F7AD2">
        <w:trPr>
          <w:trHeight w:hRule="exact" w:val="327"/>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External Works</w:t>
            </w:r>
          </w:p>
        </w:tc>
        <w:tc>
          <w:tcPr>
            <w:tcW w:w="1999" w:type="dxa"/>
          </w:tcPr>
          <w:p w:rsidR="000F7AD2" w:rsidRDefault="000F7AD2">
            <w:pPr>
              <w:spacing w:after="160" w:line="256" w:lineRule="auto"/>
              <w:rPr>
                <w:rFonts w:ascii="Arial" w:hAnsi="Arial" w:cs="Arial"/>
                <w:szCs w:val="24"/>
                <w:lang w:val="en-US" w:eastAsia="en-US"/>
              </w:rPr>
            </w:pPr>
          </w:p>
        </w:tc>
        <w:tc>
          <w:tcPr>
            <w:tcW w:w="984"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56,280</w:t>
            </w:r>
          </w:p>
        </w:tc>
        <w:tc>
          <w:tcPr>
            <w:tcW w:w="1341" w:type="dxa"/>
          </w:tcPr>
          <w:p w:rsidR="000F7AD2" w:rsidRDefault="000F7AD2">
            <w:pPr>
              <w:spacing w:after="160" w:line="256" w:lineRule="auto"/>
              <w:rPr>
                <w:rFonts w:ascii="Arial" w:hAnsi="Arial" w:cs="Arial"/>
                <w:szCs w:val="24"/>
                <w:lang w:val="en-US" w:eastAsia="en-US"/>
              </w:rPr>
            </w:pPr>
          </w:p>
        </w:tc>
        <w:tc>
          <w:tcPr>
            <w:tcW w:w="643"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12.2</w:t>
            </w:r>
          </w:p>
        </w:tc>
      </w:tr>
      <w:tr w:rsidR="000F7AD2" w:rsidTr="000F7AD2">
        <w:trPr>
          <w:trHeight w:hRule="exact" w:val="356"/>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Existing Furniture</w:t>
            </w:r>
          </w:p>
        </w:tc>
        <w:tc>
          <w:tcPr>
            <w:tcW w:w="1999" w:type="dxa"/>
          </w:tcPr>
          <w:p w:rsidR="000F7AD2" w:rsidRDefault="000F7AD2">
            <w:pPr>
              <w:spacing w:after="160" w:line="256" w:lineRule="auto"/>
              <w:rPr>
                <w:rFonts w:ascii="Arial" w:hAnsi="Arial" w:cs="Arial"/>
                <w:szCs w:val="24"/>
                <w:lang w:val="en-US" w:eastAsia="en-US"/>
              </w:rPr>
            </w:pPr>
          </w:p>
        </w:tc>
        <w:tc>
          <w:tcPr>
            <w:tcW w:w="984" w:type="dxa"/>
            <w:tcBorders>
              <w:top w:val="nil"/>
              <w:left w:val="nil"/>
              <w:bottom w:val="single" w:sz="4" w:space="0" w:color="000000"/>
              <w:right w:val="nil"/>
            </w:tcBorders>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400</w:t>
            </w:r>
          </w:p>
        </w:tc>
        <w:tc>
          <w:tcPr>
            <w:tcW w:w="1341" w:type="dxa"/>
          </w:tcPr>
          <w:p w:rsidR="000F7AD2" w:rsidRDefault="000F7AD2">
            <w:pPr>
              <w:spacing w:after="160" w:line="256" w:lineRule="auto"/>
              <w:rPr>
                <w:rFonts w:ascii="Arial" w:hAnsi="Arial" w:cs="Arial"/>
                <w:szCs w:val="24"/>
                <w:lang w:val="en-US" w:eastAsia="en-US"/>
              </w:rPr>
            </w:pPr>
          </w:p>
        </w:tc>
        <w:tc>
          <w:tcPr>
            <w:tcW w:w="643" w:type="dxa"/>
            <w:tcBorders>
              <w:top w:val="nil"/>
              <w:left w:val="nil"/>
              <w:bottom w:val="single" w:sz="4" w:space="0" w:color="000000"/>
              <w:right w:val="nil"/>
            </w:tcBorders>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0.1</w:t>
            </w:r>
          </w:p>
        </w:tc>
      </w:tr>
      <w:tr w:rsidR="000F7AD2" w:rsidTr="000F7AD2">
        <w:trPr>
          <w:trHeight w:hRule="exact" w:val="305"/>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Sub Total</w:t>
            </w:r>
          </w:p>
        </w:tc>
        <w:tc>
          <w:tcPr>
            <w:tcW w:w="1999" w:type="dxa"/>
          </w:tcPr>
          <w:p w:rsidR="000F7AD2" w:rsidRDefault="000F7AD2">
            <w:pPr>
              <w:spacing w:after="160" w:line="256" w:lineRule="auto"/>
              <w:rPr>
                <w:rFonts w:ascii="Arial" w:hAnsi="Arial" w:cs="Arial"/>
                <w:szCs w:val="24"/>
                <w:lang w:val="en-US" w:eastAsia="en-US"/>
              </w:rPr>
            </w:pPr>
          </w:p>
        </w:tc>
        <w:tc>
          <w:tcPr>
            <w:tcW w:w="984" w:type="dxa"/>
            <w:tcBorders>
              <w:top w:val="single" w:sz="4" w:space="0" w:color="000000"/>
              <w:left w:val="nil"/>
              <w:bottom w:val="nil"/>
              <w:right w:val="nil"/>
            </w:tcBorders>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306,746</w:t>
            </w:r>
          </w:p>
        </w:tc>
        <w:tc>
          <w:tcPr>
            <w:tcW w:w="1341" w:type="dxa"/>
          </w:tcPr>
          <w:p w:rsidR="000F7AD2" w:rsidRDefault="000F7AD2">
            <w:pPr>
              <w:spacing w:after="160" w:line="256" w:lineRule="auto"/>
              <w:rPr>
                <w:rFonts w:ascii="Arial" w:hAnsi="Arial" w:cs="Arial"/>
                <w:szCs w:val="24"/>
                <w:lang w:val="en-US" w:eastAsia="en-US"/>
              </w:rPr>
            </w:pPr>
          </w:p>
        </w:tc>
        <w:tc>
          <w:tcPr>
            <w:tcW w:w="643" w:type="dxa"/>
            <w:tcBorders>
              <w:top w:val="single" w:sz="4" w:space="0" w:color="000000"/>
              <w:left w:val="nil"/>
              <w:bottom w:val="nil"/>
              <w:right w:val="nil"/>
            </w:tcBorders>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 xml:space="preserve">  66.6</w:t>
            </w:r>
          </w:p>
        </w:tc>
      </w:tr>
      <w:tr w:rsidR="000F7AD2" w:rsidTr="000F7AD2">
        <w:trPr>
          <w:trHeight w:hRule="exact" w:val="329"/>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Preliminaries</w:t>
            </w:r>
          </w:p>
        </w:tc>
        <w:tc>
          <w:tcPr>
            <w:tcW w:w="1999" w:type="dxa"/>
          </w:tcPr>
          <w:p w:rsidR="000F7AD2" w:rsidRDefault="000F7AD2">
            <w:pPr>
              <w:spacing w:after="160" w:line="256" w:lineRule="auto"/>
              <w:rPr>
                <w:rFonts w:ascii="Arial" w:hAnsi="Arial" w:cs="Arial"/>
                <w:szCs w:val="24"/>
                <w:lang w:val="en-US" w:eastAsia="en-US"/>
              </w:rPr>
            </w:pPr>
          </w:p>
        </w:tc>
        <w:tc>
          <w:tcPr>
            <w:tcW w:w="984" w:type="dxa"/>
          </w:tcPr>
          <w:p w:rsidR="000F7AD2" w:rsidRDefault="000F7AD2">
            <w:pPr>
              <w:spacing w:after="160" w:line="256" w:lineRule="auto"/>
              <w:rPr>
                <w:rFonts w:ascii="Arial" w:hAnsi="Arial" w:cs="Arial"/>
                <w:szCs w:val="24"/>
                <w:lang w:val="en-US" w:eastAsia="en-US"/>
              </w:rPr>
            </w:pPr>
          </w:p>
        </w:tc>
        <w:tc>
          <w:tcPr>
            <w:tcW w:w="1341" w:type="dxa"/>
          </w:tcPr>
          <w:p w:rsidR="000F7AD2" w:rsidRDefault="000F7AD2">
            <w:pPr>
              <w:spacing w:after="160" w:line="256" w:lineRule="auto"/>
              <w:rPr>
                <w:rFonts w:ascii="Arial" w:hAnsi="Arial" w:cs="Arial"/>
                <w:szCs w:val="24"/>
                <w:lang w:val="en-US" w:eastAsia="en-US"/>
              </w:rPr>
            </w:pPr>
          </w:p>
        </w:tc>
        <w:tc>
          <w:tcPr>
            <w:tcW w:w="643" w:type="dxa"/>
          </w:tcPr>
          <w:p w:rsidR="000F7AD2" w:rsidRDefault="000F7AD2">
            <w:pPr>
              <w:spacing w:after="160" w:line="256" w:lineRule="auto"/>
              <w:rPr>
                <w:rFonts w:ascii="Arial" w:hAnsi="Arial" w:cs="Arial"/>
                <w:szCs w:val="24"/>
                <w:lang w:val="en-US" w:eastAsia="en-US"/>
              </w:rPr>
            </w:pPr>
          </w:p>
        </w:tc>
      </w:tr>
      <w:tr w:rsidR="000F7AD2" w:rsidTr="000F7AD2">
        <w:trPr>
          <w:trHeight w:hRule="exact" w:val="356"/>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Percentage allowance</w:t>
            </w:r>
          </w:p>
        </w:tc>
        <w:tc>
          <w:tcPr>
            <w:tcW w:w="1999"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15.00</w:t>
            </w:r>
          </w:p>
        </w:tc>
        <w:tc>
          <w:tcPr>
            <w:tcW w:w="984" w:type="dxa"/>
            <w:tcBorders>
              <w:top w:val="nil"/>
              <w:left w:val="nil"/>
              <w:bottom w:val="single" w:sz="4" w:space="0" w:color="000000"/>
              <w:right w:val="nil"/>
            </w:tcBorders>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46,012</w:t>
            </w:r>
          </w:p>
        </w:tc>
        <w:tc>
          <w:tcPr>
            <w:tcW w:w="1341" w:type="dxa"/>
          </w:tcPr>
          <w:p w:rsidR="000F7AD2" w:rsidRDefault="000F7AD2">
            <w:pPr>
              <w:spacing w:after="160" w:line="256" w:lineRule="auto"/>
              <w:rPr>
                <w:rFonts w:ascii="Arial" w:hAnsi="Arial" w:cs="Arial"/>
                <w:szCs w:val="24"/>
                <w:lang w:val="en-US" w:eastAsia="en-US"/>
              </w:rPr>
            </w:pPr>
          </w:p>
        </w:tc>
        <w:tc>
          <w:tcPr>
            <w:tcW w:w="643" w:type="dxa"/>
            <w:tcBorders>
              <w:top w:val="nil"/>
              <w:left w:val="nil"/>
              <w:bottom w:val="single" w:sz="4" w:space="0" w:color="000000"/>
              <w:right w:val="nil"/>
            </w:tcBorders>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10.0</w:t>
            </w:r>
          </w:p>
        </w:tc>
      </w:tr>
      <w:tr w:rsidR="000F7AD2" w:rsidTr="000F7AD2">
        <w:trPr>
          <w:trHeight w:hRule="exact" w:val="305"/>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Sub Total</w:t>
            </w:r>
          </w:p>
        </w:tc>
        <w:tc>
          <w:tcPr>
            <w:tcW w:w="1999" w:type="dxa"/>
          </w:tcPr>
          <w:p w:rsidR="000F7AD2" w:rsidRDefault="000F7AD2">
            <w:pPr>
              <w:spacing w:after="160" w:line="256" w:lineRule="auto"/>
              <w:rPr>
                <w:rFonts w:ascii="Arial" w:hAnsi="Arial" w:cs="Arial"/>
                <w:szCs w:val="24"/>
                <w:lang w:val="en-US" w:eastAsia="en-US"/>
              </w:rPr>
            </w:pPr>
          </w:p>
        </w:tc>
        <w:tc>
          <w:tcPr>
            <w:tcW w:w="984" w:type="dxa"/>
            <w:tcBorders>
              <w:top w:val="single" w:sz="4" w:space="0" w:color="000000"/>
              <w:left w:val="nil"/>
              <w:bottom w:val="nil"/>
              <w:right w:val="nil"/>
            </w:tcBorders>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352,758</w:t>
            </w:r>
          </w:p>
        </w:tc>
        <w:tc>
          <w:tcPr>
            <w:tcW w:w="1341" w:type="dxa"/>
          </w:tcPr>
          <w:p w:rsidR="000F7AD2" w:rsidRDefault="000F7AD2">
            <w:pPr>
              <w:spacing w:after="160" w:line="256" w:lineRule="auto"/>
              <w:rPr>
                <w:rFonts w:ascii="Arial" w:hAnsi="Arial" w:cs="Arial"/>
                <w:szCs w:val="24"/>
                <w:lang w:val="en-US" w:eastAsia="en-US"/>
              </w:rPr>
            </w:pPr>
          </w:p>
        </w:tc>
        <w:tc>
          <w:tcPr>
            <w:tcW w:w="643" w:type="dxa"/>
            <w:tcBorders>
              <w:top w:val="single" w:sz="4" w:space="0" w:color="000000"/>
              <w:left w:val="nil"/>
              <w:bottom w:val="nil"/>
              <w:right w:val="nil"/>
            </w:tcBorders>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 xml:space="preserve">  76.6</w:t>
            </w:r>
          </w:p>
        </w:tc>
      </w:tr>
      <w:tr w:rsidR="000F7AD2" w:rsidTr="000F7AD2">
        <w:trPr>
          <w:trHeight w:hRule="exact" w:val="329"/>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Contingencies</w:t>
            </w:r>
          </w:p>
        </w:tc>
        <w:tc>
          <w:tcPr>
            <w:tcW w:w="1999" w:type="dxa"/>
          </w:tcPr>
          <w:p w:rsidR="000F7AD2" w:rsidRDefault="000F7AD2">
            <w:pPr>
              <w:spacing w:after="160" w:line="256" w:lineRule="auto"/>
              <w:rPr>
                <w:rFonts w:ascii="Arial" w:hAnsi="Arial" w:cs="Arial"/>
                <w:szCs w:val="24"/>
                <w:lang w:val="en-US" w:eastAsia="en-US"/>
              </w:rPr>
            </w:pPr>
          </w:p>
        </w:tc>
        <w:tc>
          <w:tcPr>
            <w:tcW w:w="984" w:type="dxa"/>
          </w:tcPr>
          <w:p w:rsidR="000F7AD2" w:rsidRDefault="000F7AD2">
            <w:pPr>
              <w:spacing w:after="160" w:line="256" w:lineRule="auto"/>
              <w:rPr>
                <w:rFonts w:ascii="Arial" w:hAnsi="Arial" w:cs="Arial"/>
                <w:szCs w:val="24"/>
                <w:lang w:val="en-US" w:eastAsia="en-US"/>
              </w:rPr>
            </w:pPr>
          </w:p>
        </w:tc>
        <w:tc>
          <w:tcPr>
            <w:tcW w:w="1341" w:type="dxa"/>
          </w:tcPr>
          <w:p w:rsidR="000F7AD2" w:rsidRDefault="000F7AD2">
            <w:pPr>
              <w:spacing w:after="160" w:line="256" w:lineRule="auto"/>
              <w:rPr>
                <w:rFonts w:ascii="Arial" w:hAnsi="Arial" w:cs="Arial"/>
                <w:szCs w:val="24"/>
                <w:lang w:val="en-US" w:eastAsia="en-US"/>
              </w:rPr>
            </w:pPr>
          </w:p>
        </w:tc>
        <w:tc>
          <w:tcPr>
            <w:tcW w:w="643" w:type="dxa"/>
          </w:tcPr>
          <w:p w:rsidR="000F7AD2" w:rsidRDefault="000F7AD2">
            <w:pPr>
              <w:spacing w:after="160" w:line="256" w:lineRule="auto"/>
              <w:rPr>
                <w:rFonts w:ascii="Arial" w:hAnsi="Arial" w:cs="Arial"/>
                <w:szCs w:val="24"/>
                <w:lang w:val="en-US" w:eastAsia="en-US"/>
              </w:rPr>
            </w:pPr>
          </w:p>
        </w:tc>
      </w:tr>
      <w:tr w:rsidR="000F7AD2" w:rsidTr="000F7AD2">
        <w:trPr>
          <w:trHeight w:hRule="exact" w:val="356"/>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Percentage allowance</w:t>
            </w:r>
          </w:p>
        </w:tc>
        <w:tc>
          <w:tcPr>
            <w:tcW w:w="1999"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7.50</w:t>
            </w:r>
          </w:p>
        </w:tc>
        <w:tc>
          <w:tcPr>
            <w:tcW w:w="984" w:type="dxa"/>
            <w:tcBorders>
              <w:top w:val="nil"/>
              <w:left w:val="nil"/>
              <w:bottom w:val="single" w:sz="4" w:space="0" w:color="000000"/>
              <w:right w:val="nil"/>
            </w:tcBorders>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26,457</w:t>
            </w:r>
          </w:p>
        </w:tc>
        <w:tc>
          <w:tcPr>
            <w:tcW w:w="1341" w:type="dxa"/>
          </w:tcPr>
          <w:p w:rsidR="000F7AD2" w:rsidRDefault="000F7AD2">
            <w:pPr>
              <w:spacing w:after="160" w:line="256" w:lineRule="auto"/>
              <w:rPr>
                <w:rFonts w:ascii="Arial" w:hAnsi="Arial" w:cs="Arial"/>
                <w:szCs w:val="24"/>
                <w:lang w:val="en-US" w:eastAsia="en-US"/>
              </w:rPr>
            </w:pPr>
          </w:p>
        </w:tc>
        <w:tc>
          <w:tcPr>
            <w:tcW w:w="643" w:type="dxa"/>
            <w:tcBorders>
              <w:top w:val="nil"/>
              <w:left w:val="nil"/>
              <w:bottom w:val="single" w:sz="4" w:space="0" w:color="000000"/>
              <w:right w:val="nil"/>
            </w:tcBorders>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5.7</w:t>
            </w:r>
          </w:p>
        </w:tc>
      </w:tr>
      <w:tr w:rsidR="000F7AD2" w:rsidTr="000F7AD2">
        <w:trPr>
          <w:trHeight w:hRule="exact" w:val="305"/>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Sub Total</w:t>
            </w:r>
          </w:p>
        </w:tc>
        <w:tc>
          <w:tcPr>
            <w:tcW w:w="1999" w:type="dxa"/>
          </w:tcPr>
          <w:p w:rsidR="000F7AD2" w:rsidRDefault="000F7AD2">
            <w:pPr>
              <w:spacing w:after="160" w:line="256" w:lineRule="auto"/>
              <w:rPr>
                <w:rFonts w:ascii="Arial" w:hAnsi="Arial" w:cs="Arial"/>
                <w:szCs w:val="24"/>
                <w:lang w:val="en-US" w:eastAsia="en-US"/>
              </w:rPr>
            </w:pPr>
          </w:p>
        </w:tc>
        <w:tc>
          <w:tcPr>
            <w:tcW w:w="984" w:type="dxa"/>
            <w:tcBorders>
              <w:top w:val="single" w:sz="4" w:space="0" w:color="000000"/>
              <w:left w:val="nil"/>
              <w:bottom w:val="nil"/>
              <w:right w:val="nil"/>
            </w:tcBorders>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379,215</w:t>
            </w:r>
          </w:p>
        </w:tc>
        <w:tc>
          <w:tcPr>
            <w:tcW w:w="1341" w:type="dxa"/>
          </w:tcPr>
          <w:p w:rsidR="000F7AD2" w:rsidRDefault="000F7AD2">
            <w:pPr>
              <w:spacing w:after="160" w:line="256" w:lineRule="auto"/>
              <w:rPr>
                <w:rFonts w:ascii="Arial" w:hAnsi="Arial" w:cs="Arial"/>
                <w:szCs w:val="24"/>
                <w:lang w:val="en-US" w:eastAsia="en-US"/>
              </w:rPr>
            </w:pPr>
          </w:p>
        </w:tc>
        <w:tc>
          <w:tcPr>
            <w:tcW w:w="643" w:type="dxa"/>
            <w:tcBorders>
              <w:top w:val="single" w:sz="4" w:space="0" w:color="000000"/>
              <w:left w:val="nil"/>
              <w:bottom w:val="nil"/>
              <w:right w:val="nil"/>
            </w:tcBorders>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 xml:space="preserve">  82.3</w:t>
            </w:r>
          </w:p>
        </w:tc>
      </w:tr>
      <w:tr w:rsidR="000F7AD2" w:rsidTr="000F7AD2">
        <w:trPr>
          <w:trHeight w:hRule="exact" w:val="329"/>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Location &amp; scale Factor</w:t>
            </w:r>
          </w:p>
        </w:tc>
        <w:tc>
          <w:tcPr>
            <w:tcW w:w="1999" w:type="dxa"/>
          </w:tcPr>
          <w:p w:rsidR="000F7AD2" w:rsidRDefault="000F7AD2">
            <w:pPr>
              <w:spacing w:after="160" w:line="256" w:lineRule="auto"/>
              <w:rPr>
                <w:rFonts w:ascii="Arial" w:hAnsi="Arial" w:cs="Arial"/>
                <w:szCs w:val="24"/>
                <w:lang w:val="en-US" w:eastAsia="en-US"/>
              </w:rPr>
            </w:pPr>
          </w:p>
        </w:tc>
        <w:tc>
          <w:tcPr>
            <w:tcW w:w="984" w:type="dxa"/>
          </w:tcPr>
          <w:p w:rsidR="000F7AD2" w:rsidRDefault="000F7AD2">
            <w:pPr>
              <w:spacing w:after="160" w:line="256" w:lineRule="auto"/>
              <w:rPr>
                <w:rFonts w:ascii="Arial" w:hAnsi="Arial" w:cs="Arial"/>
                <w:szCs w:val="24"/>
                <w:lang w:val="en-US" w:eastAsia="en-US"/>
              </w:rPr>
            </w:pPr>
          </w:p>
        </w:tc>
        <w:tc>
          <w:tcPr>
            <w:tcW w:w="1341" w:type="dxa"/>
          </w:tcPr>
          <w:p w:rsidR="000F7AD2" w:rsidRDefault="000F7AD2">
            <w:pPr>
              <w:spacing w:after="160" w:line="256" w:lineRule="auto"/>
              <w:rPr>
                <w:rFonts w:ascii="Arial" w:hAnsi="Arial" w:cs="Arial"/>
                <w:szCs w:val="24"/>
                <w:lang w:val="en-US" w:eastAsia="en-US"/>
              </w:rPr>
            </w:pPr>
          </w:p>
        </w:tc>
        <w:tc>
          <w:tcPr>
            <w:tcW w:w="643" w:type="dxa"/>
          </w:tcPr>
          <w:p w:rsidR="000F7AD2" w:rsidRDefault="000F7AD2">
            <w:pPr>
              <w:spacing w:after="160" w:line="256" w:lineRule="auto"/>
              <w:rPr>
                <w:rFonts w:ascii="Arial" w:hAnsi="Arial" w:cs="Arial"/>
                <w:szCs w:val="24"/>
                <w:lang w:val="en-US" w:eastAsia="en-US"/>
              </w:rPr>
            </w:pPr>
          </w:p>
        </w:tc>
      </w:tr>
      <w:tr w:rsidR="000F7AD2" w:rsidTr="000F7AD2">
        <w:trPr>
          <w:trHeight w:hRule="exact" w:val="356"/>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Percentage allowance</w:t>
            </w:r>
          </w:p>
        </w:tc>
        <w:tc>
          <w:tcPr>
            <w:tcW w:w="1999"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3.00</w:t>
            </w:r>
          </w:p>
        </w:tc>
        <w:tc>
          <w:tcPr>
            <w:tcW w:w="984" w:type="dxa"/>
            <w:tcBorders>
              <w:top w:val="nil"/>
              <w:left w:val="nil"/>
              <w:bottom w:val="single" w:sz="4" w:space="0" w:color="000000"/>
              <w:right w:val="nil"/>
            </w:tcBorders>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11,376</w:t>
            </w:r>
          </w:p>
        </w:tc>
        <w:tc>
          <w:tcPr>
            <w:tcW w:w="1341" w:type="dxa"/>
          </w:tcPr>
          <w:p w:rsidR="000F7AD2" w:rsidRDefault="000F7AD2">
            <w:pPr>
              <w:spacing w:after="160" w:line="256" w:lineRule="auto"/>
              <w:rPr>
                <w:rFonts w:ascii="Arial" w:hAnsi="Arial" w:cs="Arial"/>
                <w:szCs w:val="24"/>
                <w:lang w:val="en-US" w:eastAsia="en-US"/>
              </w:rPr>
            </w:pPr>
          </w:p>
        </w:tc>
        <w:tc>
          <w:tcPr>
            <w:tcW w:w="643" w:type="dxa"/>
            <w:tcBorders>
              <w:top w:val="nil"/>
              <w:left w:val="nil"/>
              <w:bottom w:val="single" w:sz="4" w:space="0" w:color="000000"/>
              <w:right w:val="nil"/>
            </w:tcBorders>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2.5</w:t>
            </w:r>
          </w:p>
        </w:tc>
      </w:tr>
      <w:tr w:rsidR="000F7AD2" w:rsidTr="000F7AD2">
        <w:trPr>
          <w:trHeight w:hRule="exact" w:val="305"/>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Sub Total</w:t>
            </w:r>
          </w:p>
        </w:tc>
        <w:tc>
          <w:tcPr>
            <w:tcW w:w="1999" w:type="dxa"/>
          </w:tcPr>
          <w:p w:rsidR="000F7AD2" w:rsidRDefault="000F7AD2">
            <w:pPr>
              <w:spacing w:after="160" w:line="256" w:lineRule="auto"/>
              <w:rPr>
                <w:rFonts w:ascii="Arial" w:hAnsi="Arial" w:cs="Arial"/>
                <w:szCs w:val="24"/>
                <w:lang w:val="en-US" w:eastAsia="en-US"/>
              </w:rPr>
            </w:pPr>
          </w:p>
        </w:tc>
        <w:tc>
          <w:tcPr>
            <w:tcW w:w="984" w:type="dxa"/>
            <w:tcBorders>
              <w:top w:val="single" w:sz="4" w:space="0" w:color="000000"/>
              <w:left w:val="nil"/>
              <w:bottom w:val="nil"/>
              <w:right w:val="nil"/>
            </w:tcBorders>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390,591</w:t>
            </w:r>
          </w:p>
        </w:tc>
        <w:tc>
          <w:tcPr>
            <w:tcW w:w="1341"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w:t>
            </w:r>
          </w:p>
        </w:tc>
        <w:tc>
          <w:tcPr>
            <w:tcW w:w="643" w:type="dxa"/>
            <w:tcBorders>
              <w:top w:val="single" w:sz="4" w:space="0" w:color="000000"/>
              <w:left w:val="nil"/>
              <w:bottom w:val="nil"/>
              <w:right w:val="nil"/>
            </w:tcBorders>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 xml:space="preserve">  84.8</w:t>
            </w:r>
          </w:p>
        </w:tc>
      </w:tr>
      <w:tr w:rsidR="000F7AD2" w:rsidTr="000F7AD2">
        <w:trPr>
          <w:trHeight w:hRule="exact" w:val="329"/>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Other Costs</w:t>
            </w:r>
          </w:p>
        </w:tc>
        <w:tc>
          <w:tcPr>
            <w:tcW w:w="1999" w:type="dxa"/>
          </w:tcPr>
          <w:p w:rsidR="000F7AD2" w:rsidRDefault="000F7AD2">
            <w:pPr>
              <w:spacing w:after="160" w:line="256" w:lineRule="auto"/>
              <w:rPr>
                <w:rFonts w:ascii="Arial" w:hAnsi="Arial" w:cs="Arial"/>
                <w:szCs w:val="24"/>
                <w:lang w:val="en-US" w:eastAsia="en-US"/>
              </w:rPr>
            </w:pPr>
          </w:p>
        </w:tc>
        <w:tc>
          <w:tcPr>
            <w:tcW w:w="984" w:type="dxa"/>
          </w:tcPr>
          <w:p w:rsidR="000F7AD2" w:rsidRDefault="000F7AD2">
            <w:pPr>
              <w:spacing w:after="160" w:line="256" w:lineRule="auto"/>
              <w:rPr>
                <w:rFonts w:ascii="Arial" w:hAnsi="Arial" w:cs="Arial"/>
                <w:szCs w:val="24"/>
                <w:lang w:val="en-US" w:eastAsia="en-US"/>
              </w:rPr>
            </w:pPr>
          </w:p>
        </w:tc>
        <w:tc>
          <w:tcPr>
            <w:tcW w:w="1341" w:type="dxa"/>
          </w:tcPr>
          <w:p w:rsidR="000F7AD2" w:rsidRDefault="000F7AD2">
            <w:pPr>
              <w:spacing w:after="160" w:line="256" w:lineRule="auto"/>
              <w:rPr>
                <w:rFonts w:ascii="Arial" w:hAnsi="Arial" w:cs="Arial"/>
                <w:szCs w:val="24"/>
                <w:lang w:val="en-US" w:eastAsia="en-US"/>
              </w:rPr>
            </w:pPr>
          </w:p>
        </w:tc>
        <w:tc>
          <w:tcPr>
            <w:tcW w:w="643" w:type="dxa"/>
          </w:tcPr>
          <w:p w:rsidR="000F7AD2" w:rsidRDefault="000F7AD2">
            <w:pPr>
              <w:spacing w:after="160" w:line="256" w:lineRule="auto"/>
              <w:rPr>
                <w:rFonts w:ascii="Arial" w:hAnsi="Arial" w:cs="Arial"/>
                <w:szCs w:val="24"/>
                <w:lang w:val="en-US" w:eastAsia="en-US"/>
              </w:rPr>
            </w:pPr>
          </w:p>
        </w:tc>
      </w:tr>
      <w:tr w:rsidR="000F7AD2" w:rsidTr="000F7AD2">
        <w:trPr>
          <w:trHeight w:hRule="exact" w:val="327"/>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Professional Fees</w:t>
            </w:r>
          </w:p>
        </w:tc>
        <w:tc>
          <w:tcPr>
            <w:tcW w:w="1999"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17.00</w:t>
            </w:r>
          </w:p>
        </w:tc>
        <w:tc>
          <w:tcPr>
            <w:tcW w:w="984"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66,401</w:t>
            </w:r>
          </w:p>
        </w:tc>
        <w:tc>
          <w:tcPr>
            <w:tcW w:w="1341" w:type="dxa"/>
          </w:tcPr>
          <w:p w:rsidR="000F7AD2" w:rsidRDefault="000F7AD2">
            <w:pPr>
              <w:spacing w:after="160" w:line="256" w:lineRule="auto"/>
              <w:rPr>
                <w:rFonts w:ascii="Arial" w:hAnsi="Arial" w:cs="Arial"/>
                <w:szCs w:val="24"/>
                <w:lang w:val="en-US" w:eastAsia="en-US"/>
              </w:rPr>
            </w:pPr>
          </w:p>
        </w:tc>
        <w:tc>
          <w:tcPr>
            <w:tcW w:w="643"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14.4</w:t>
            </w:r>
          </w:p>
        </w:tc>
      </w:tr>
      <w:tr w:rsidR="000F7AD2" w:rsidTr="000F7AD2">
        <w:trPr>
          <w:trHeight w:hRule="exact" w:val="327"/>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Building Warrant</w:t>
            </w:r>
          </w:p>
        </w:tc>
        <w:tc>
          <w:tcPr>
            <w:tcW w:w="1999" w:type="dxa"/>
          </w:tcPr>
          <w:p w:rsidR="000F7AD2" w:rsidRDefault="000F7AD2">
            <w:pPr>
              <w:spacing w:after="160" w:line="256" w:lineRule="auto"/>
              <w:rPr>
                <w:rFonts w:ascii="Arial" w:hAnsi="Arial" w:cs="Arial"/>
                <w:szCs w:val="24"/>
                <w:lang w:val="en-US" w:eastAsia="en-US"/>
              </w:rPr>
            </w:pPr>
          </w:p>
        </w:tc>
        <w:tc>
          <w:tcPr>
            <w:tcW w:w="984"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2,480</w:t>
            </w:r>
          </w:p>
        </w:tc>
        <w:tc>
          <w:tcPr>
            <w:tcW w:w="1341" w:type="dxa"/>
          </w:tcPr>
          <w:p w:rsidR="000F7AD2" w:rsidRDefault="000F7AD2">
            <w:pPr>
              <w:spacing w:after="160" w:line="256" w:lineRule="auto"/>
              <w:rPr>
                <w:rFonts w:ascii="Arial" w:hAnsi="Arial" w:cs="Arial"/>
                <w:szCs w:val="24"/>
                <w:lang w:val="en-US" w:eastAsia="en-US"/>
              </w:rPr>
            </w:pPr>
          </w:p>
        </w:tc>
        <w:tc>
          <w:tcPr>
            <w:tcW w:w="643"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0.5</w:t>
            </w:r>
          </w:p>
        </w:tc>
      </w:tr>
      <w:tr w:rsidR="000F7AD2" w:rsidTr="000F7AD2">
        <w:trPr>
          <w:trHeight w:hRule="exact" w:val="356"/>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Planning permission</w:t>
            </w:r>
          </w:p>
        </w:tc>
        <w:tc>
          <w:tcPr>
            <w:tcW w:w="1999" w:type="dxa"/>
          </w:tcPr>
          <w:p w:rsidR="000F7AD2" w:rsidRDefault="000F7AD2">
            <w:pPr>
              <w:spacing w:after="160" w:line="256" w:lineRule="auto"/>
              <w:rPr>
                <w:rFonts w:ascii="Arial" w:hAnsi="Arial" w:cs="Arial"/>
                <w:szCs w:val="24"/>
                <w:lang w:val="en-US" w:eastAsia="en-US"/>
              </w:rPr>
            </w:pPr>
          </w:p>
        </w:tc>
        <w:tc>
          <w:tcPr>
            <w:tcW w:w="984" w:type="dxa"/>
            <w:tcBorders>
              <w:top w:val="nil"/>
              <w:left w:val="nil"/>
              <w:bottom w:val="single" w:sz="4" w:space="0" w:color="000000"/>
              <w:right w:val="nil"/>
            </w:tcBorders>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1,118</w:t>
            </w:r>
          </w:p>
        </w:tc>
        <w:tc>
          <w:tcPr>
            <w:tcW w:w="1341" w:type="dxa"/>
          </w:tcPr>
          <w:p w:rsidR="000F7AD2" w:rsidRDefault="000F7AD2">
            <w:pPr>
              <w:spacing w:after="160" w:line="256" w:lineRule="auto"/>
              <w:rPr>
                <w:rFonts w:ascii="Arial" w:hAnsi="Arial" w:cs="Arial"/>
                <w:szCs w:val="24"/>
                <w:lang w:val="en-US" w:eastAsia="en-US"/>
              </w:rPr>
            </w:pPr>
          </w:p>
        </w:tc>
        <w:tc>
          <w:tcPr>
            <w:tcW w:w="643" w:type="dxa"/>
            <w:tcBorders>
              <w:top w:val="nil"/>
              <w:left w:val="nil"/>
              <w:bottom w:val="single" w:sz="4" w:space="0" w:color="000000"/>
              <w:right w:val="nil"/>
            </w:tcBorders>
            <w:hideMark/>
          </w:tcPr>
          <w:p w:rsidR="000F7AD2" w:rsidRDefault="000F7AD2">
            <w:pPr>
              <w:spacing w:after="160" w:line="256" w:lineRule="auto"/>
              <w:rPr>
                <w:rFonts w:ascii="Arial" w:hAnsi="Arial" w:cs="Arial"/>
                <w:szCs w:val="24"/>
                <w:lang w:val="en-US" w:eastAsia="en-US"/>
              </w:rPr>
            </w:pPr>
            <w:r>
              <w:rPr>
                <w:rFonts w:ascii="Arial" w:hAnsi="Arial" w:cs="Arial"/>
                <w:szCs w:val="24"/>
                <w:lang w:val="en-US"/>
              </w:rPr>
              <w:t xml:space="preserve">    0.3</w:t>
            </w:r>
          </w:p>
        </w:tc>
      </w:tr>
      <w:tr w:rsidR="000F7AD2" w:rsidTr="000F7AD2">
        <w:trPr>
          <w:trHeight w:hRule="exact" w:val="305"/>
        </w:trPr>
        <w:tc>
          <w:tcPr>
            <w:tcW w:w="4711" w:type="dxa"/>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Sub Total</w:t>
            </w:r>
          </w:p>
        </w:tc>
        <w:tc>
          <w:tcPr>
            <w:tcW w:w="1999" w:type="dxa"/>
          </w:tcPr>
          <w:p w:rsidR="000F7AD2" w:rsidRDefault="000F7AD2">
            <w:pPr>
              <w:spacing w:after="160" w:line="256" w:lineRule="auto"/>
              <w:rPr>
                <w:rFonts w:ascii="Arial" w:hAnsi="Arial" w:cs="Arial"/>
                <w:szCs w:val="24"/>
                <w:lang w:val="en-US" w:eastAsia="en-US"/>
              </w:rPr>
            </w:pPr>
          </w:p>
        </w:tc>
        <w:tc>
          <w:tcPr>
            <w:tcW w:w="984" w:type="dxa"/>
            <w:tcBorders>
              <w:top w:val="single" w:sz="4" w:space="0" w:color="000000"/>
              <w:left w:val="nil"/>
              <w:bottom w:val="single" w:sz="4" w:space="0" w:color="000000"/>
              <w:right w:val="nil"/>
            </w:tcBorders>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460,590</w:t>
            </w:r>
          </w:p>
        </w:tc>
        <w:tc>
          <w:tcPr>
            <w:tcW w:w="1341" w:type="dxa"/>
          </w:tcPr>
          <w:p w:rsidR="000F7AD2" w:rsidRDefault="000F7AD2">
            <w:pPr>
              <w:spacing w:after="160" w:line="256" w:lineRule="auto"/>
              <w:rPr>
                <w:rFonts w:ascii="Arial" w:hAnsi="Arial" w:cs="Arial"/>
                <w:szCs w:val="24"/>
                <w:lang w:val="en-US" w:eastAsia="en-US"/>
              </w:rPr>
            </w:pPr>
          </w:p>
        </w:tc>
        <w:tc>
          <w:tcPr>
            <w:tcW w:w="643" w:type="dxa"/>
            <w:tcBorders>
              <w:top w:val="single" w:sz="4" w:space="0" w:color="000000"/>
              <w:left w:val="nil"/>
              <w:bottom w:val="single" w:sz="4" w:space="0" w:color="000000"/>
              <w:right w:val="nil"/>
            </w:tcBorders>
            <w:hideMark/>
          </w:tcPr>
          <w:p w:rsidR="000F7AD2" w:rsidRDefault="000F7AD2">
            <w:pPr>
              <w:spacing w:after="160" w:line="256" w:lineRule="auto"/>
              <w:rPr>
                <w:rFonts w:ascii="Arial" w:hAnsi="Arial" w:cs="Arial"/>
                <w:szCs w:val="24"/>
                <w:lang w:val="en-US" w:eastAsia="en-US"/>
              </w:rPr>
            </w:pPr>
            <w:r>
              <w:rPr>
                <w:rFonts w:ascii="Arial" w:hAnsi="Arial" w:cs="Arial"/>
                <w:b/>
                <w:bCs/>
                <w:szCs w:val="24"/>
                <w:lang w:val="en-US"/>
              </w:rPr>
              <w:t>100.0</w:t>
            </w:r>
          </w:p>
        </w:tc>
      </w:tr>
      <w:tr w:rsidR="000F7AD2" w:rsidTr="000F7AD2">
        <w:trPr>
          <w:trHeight w:hRule="exact" w:val="305"/>
        </w:trPr>
        <w:tc>
          <w:tcPr>
            <w:tcW w:w="4711" w:type="dxa"/>
          </w:tcPr>
          <w:p w:rsidR="000F7AD2" w:rsidRDefault="000F7AD2">
            <w:pPr>
              <w:rPr>
                <w:rFonts w:ascii="Arial" w:hAnsi="Arial" w:cs="Arial"/>
                <w:b/>
                <w:bCs/>
                <w:szCs w:val="24"/>
                <w:lang w:val="en-US"/>
              </w:rPr>
            </w:pPr>
          </w:p>
          <w:p w:rsidR="000F7AD2" w:rsidRDefault="000F7AD2">
            <w:pPr>
              <w:rPr>
                <w:rFonts w:ascii="Arial" w:hAnsi="Arial" w:cs="Arial"/>
                <w:b/>
                <w:bCs/>
                <w:szCs w:val="24"/>
                <w:lang w:val="en-US"/>
              </w:rPr>
            </w:pPr>
          </w:p>
          <w:p w:rsidR="000F7AD2" w:rsidRDefault="000F7AD2">
            <w:pPr>
              <w:rPr>
                <w:rFonts w:ascii="Arial" w:hAnsi="Arial" w:cs="Arial"/>
                <w:b/>
                <w:bCs/>
                <w:szCs w:val="24"/>
                <w:lang w:val="en-US"/>
              </w:rPr>
            </w:pPr>
          </w:p>
          <w:p w:rsidR="000F7AD2" w:rsidRDefault="000F7AD2">
            <w:pPr>
              <w:spacing w:after="160" w:line="256" w:lineRule="auto"/>
              <w:rPr>
                <w:rFonts w:ascii="Arial" w:hAnsi="Arial" w:cs="Arial"/>
                <w:b/>
                <w:bCs/>
                <w:szCs w:val="24"/>
                <w:lang w:val="en-US" w:eastAsia="en-US"/>
              </w:rPr>
            </w:pPr>
          </w:p>
        </w:tc>
        <w:tc>
          <w:tcPr>
            <w:tcW w:w="1999" w:type="dxa"/>
          </w:tcPr>
          <w:p w:rsidR="000F7AD2" w:rsidRDefault="000F7AD2">
            <w:pPr>
              <w:spacing w:after="160" w:line="256" w:lineRule="auto"/>
              <w:rPr>
                <w:rFonts w:ascii="Arial" w:hAnsi="Arial" w:cs="Arial"/>
                <w:szCs w:val="24"/>
                <w:lang w:val="en-US" w:eastAsia="en-US"/>
              </w:rPr>
            </w:pPr>
          </w:p>
        </w:tc>
        <w:tc>
          <w:tcPr>
            <w:tcW w:w="984" w:type="dxa"/>
            <w:tcBorders>
              <w:top w:val="single" w:sz="4" w:space="0" w:color="000000"/>
              <w:left w:val="nil"/>
              <w:bottom w:val="nil"/>
              <w:right w:val="nil"/>
            </w:tcBorders>
          </w:tcPr>
          <w:p w:rsidR="000F7AD2" w:rsidRDefault="000F7AD2">
            <w:pPr>
              <w:spacing w:after="160" w:line="256" w:lineRule="auto"/>
              <w:rPr>
                <w:rFonts w:ascii="Arial" w:hAnsi="Arial" w:cs="Arial"/>
                <w:b/>
                <w:bCs/>
                <w:szCs w:val="24"/>
                <w:lang w:val="en-US" w:eastAsia="en-US"/>
              </w:rPr>
            </w:pPr>
          </w:p>
        </w:tc>
        <w:tc>
          <w:tcPr>
            <w:tcW w:w="1341" w:type="dxa"/>
          </w:tcPr>
          <w:p w:rsidR="000F7AD2" w:rsidRDefault="000F7AD2">
            <w:pPr>
              <w:spacing w:after="160" w:line="256" w:lineRule="auto"/>
              <w:rPr>
                <w:rFonts w:ascii="Arial" w:hAnsi="Arial" w:cs="Arial"/>
                <w:szCs w:val="24"/>
                <w:lang w:val="en-US" w:eastAsia="en-US"/>
              </w:rPr>
            </w:pPr>
          </w:p>
        </w:tc>
        <w:tc>
          <w:tcPr>
            <w:tcW w:w="643" w:type="dxa"/>
            <w:tcBorders>
              <w:top w:val="single" w:sz="4" w:space="0" w:color="000000"/>
              <w:left w:val="nil"/>
              <w:bottom w:val="nil"/>
              <w:right w:val="nil"/>
            </w:tcBorders>
          </w:tcPr>
          <w:p w:rsidR="000F7AD2" w:rsidRDefault="000F7AD2">
            <w:pPr>
              <w:spacing w:after="160" w:line="256" w:lineRule="auto"/>
              <w:rPr>
                <w:rFonts w:ascii="Arial" w:hAnsi="Arial" w:cs="Arial"/>
                <w:b/>
                <w:bCs/>
                <w:szCs w:val="24"/>
                <w:lang w:val="en-US" w:eastAsia="en-US"/>
              </w:rPr>
            </w:pPr>
          </w:p>
        </w:tc>
      </w:tr>
    </w:tbl>
    <w:p w:rsidR="000F7AD2" w:rsidRDefault="000F7AD2" w:rsidP="000F7AD2">
      <w:pPr>
        <w:rPr>
          <w:rFonts w:ascii="Arial" w:eastAsiaTheme="minorHAnsi" w:hAnsi="Arial" w:cs="Arial"/>
          <w:b/>
          <w:szCs w:val="24"/>
          <w:lang w:eastAsia="en-US"/>
        </w:rPr>
      </w:pPr>
    </w:p>
    <w:p w:rsidR="000F7AD2" w:rsidRDefault="000F7AD2" w:rsidP="000F7AD2">
      <w:pPr>
        <w:rPr>
          <w:rFonts w:ascii="Arial" w:hAnsi="Arial" w:cs="Arial"/>
          <w:b/>
          <w:noProof/>
          <w:szCs w:val="24"/>
        </w:rPr>
      </w:pPr>
      <w:r>
        <w:rPr>
          <w:rFonts w:ascii="Arial" w:hAnsi="Arial" w:cs="Arial"/>
          <w:szCs w:val="24"/>
        </w:rPr>
        <w:tab/>
      </w:r>
      <w:r>
        <w:rPr>
          <w:rFonts w:ascii="Arial" w:hAnsi="Arial" w:cs="Arial"/>
          <w:szCs w:val="24"/>
        </w:rPr>
        <w:tab/>
      </w:r>
    </w:p>
    <w:sectPr w:rsidR="000F7AD2" w:rsidSect="006702D2">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13F" w:rsidRDefault="003F713F">
      <w:r>
        <w:separator/>
      </w:r>
    </w:p>
  </w:endnote>
  <w:endnote w:type="continuationSeparator" w:id="0">
    <w:p w:rsidR="003F713F" w:rsidRDefault="003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13F" w:rsidRDefault="003F713F">
      <w:r>
        <w:separator/>
      </w:r>
    </w:p>
  </w:footnote>
  <w:footnote w:type="continuationSeparator" w:id="0">
    <w:p w:rsidR="003F713F" w:rsidRDefault="003F71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783F"/>
    <w:multiLevelType w:val="hybridMultilevel"/>
    <w:tmpl w:val="1C58B2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1F531D"/>
    <w:multiLevelType w:val="hybridMultilevel"/>
    <w:tmpl w:val="96721C1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1E663E5"/>
    <w:multiLevelType w:val="hybridMultilevel"/>
    <w:tmpl w:val="2E8E659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6B1D6F"/>
    <w:multiLevelType w:val="hybridMultilevel"/>
    <w:tmpl w:val="B888E242"/>
    <w:lvl w:ilvl="0" w:tplc="0809001B">
      <w:start w:val="1"/>
      <w:numFmt w:val="lowerRoman"/>
      <w:lvlText w:val="%1."/>
      <w:lvlJc w:val="righ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
    <w:nsid w:val="22E30E30"/>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B644F6"/>
    <w:multiLevelType w:val="hybridMultilevel"/>
    <w:tmpl w:val="D95E874C"/>
    <w:lvl w:ilvl="0" w:tplc="F5EACF4A">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E9282C"/>
    <w:multiLevelType w:val="hybridMultilevel"/>
    <w:tmpl w:val="3D58A7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AE7793F"/>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B9E5D97"/>
    <w:multiLevelType w:val="hybridMultilevel"/>
    <w:tmpl w:val="4FB675F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06947AC"/>
    <w:multiLevelType w:val="hybridMultilevel"/>
    <w:tmpl w:val="B1A464D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1081377"/>
    <w:multiLevelType w:val="hybridMultilevel"/>
    <w:tmpl w:val="FC165F84"/>
    <w:lvl w:ilvl="0" w:tplc="33F8165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8D0FD4"/>
    <w:multiLevelType w:val="hybridMultilevel"/>
    <w:tmpl w:val="D0306D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CD8408F"/>
    <w:multiLevelType w:val="hybridMultilevel"/>
    <w:tmpl w:val="D95E874C"/>
    <w:lvl w:ilvl="0" w:tplc="F5EACF4A">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0B0026C"/>
    <w:multiLevelType w:val="hybridMultilevel"/>
    <w:tmpl w:val="53C082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A8D6251"/>
    <w:multiLevelType w:val="hybridMultilevel"/>
    <w:tmpl w:val="3AE84F9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C5426BB"/>
    <w:multiLevelType w:val="hybridMultilevel"/>
    <w:tmpl w:val="00B6984E"/>
    <w:lvl w:ilvl="0" w:tplc="0809001B">
      <w:start w:val="1"/>
      <w:numFmt w:val="low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7787736"/>
    <w:multiLevelType w:val="hybridMultilevel"/>
    <w:tmpl w:val="1846A1E4"/>
    <w:lvl w:ilvl="0" w:tplc="56660C6E">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7">
    <w:nsid w:val="7ABF5708"/>
    <w:multiLevelType w:val="hybridMultilevel"/>
    <w:tmpl w:val="9DF66F0E"/>
    <w:lvl w:ilvl="0" w:tplc="F5EACF4A">
      <w:start w:val="1"/>
      <w:numFmt w:val="lowerRoman"/>
      <w:lvlText w:val="%1."/>
      <w:lvlJc w:val="left"/>
      <w:pPr>
        <w:ind w:left="1440" w:hanging="72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6"/>
  </w:num>
  <w:num w:numId="2">
    <w:abstractNumId w:val="7"/>
  </w:num>
  <w:num w:numId="3">
    <w:abstractNumId w:val="4"/>
  </w:num>
  <w:num w:numId="4">
    <w:abstractNumId w:val="17"/>
  </w:num>
  <w:num w:numId="5">
    <w:abstractNumId w:val="2"/>
  </w:num>
  <w:num w:numId="6">
    <w:abstractNumId w:val="3"/>
  </w:num>
  <w:num w:numId="7">
    <w:abstractNumId w:val="0"/>
  </w:num>
  <w:num w:numId="8">
    <w:abstractNumId w:val="11"/>
  </w:num>
  <w:num w:numId="9">
    <w:abstractNumId w:val="10"/>
  </w:num>
  <w:num w:numId="10">
    <w:abstractNumId w:val="6"/>
  </w:num>
  <w:num w:numId="11">
    <w:abstractNumId w:val="14"/>
  </w:num>
  <w:num w:numId="12">
    <w:abstractNumId w:val="8"/>
  </w:num>
  <w:num w:numId="13">
    <w:abstractNumId w:val="1"/>
  </w:num>
  <w:num w:numId="14">
    <w:abstractNumId w:val="9"/>
  </w:num>
  <w:num w:numId="15">
    <w:abstractNumId w:val="13"/>
  </w:num>
  <w:num w:numId="16">
    <w:abstractNumId w:val="5"/>
  </w:num>
  <w:num w:numId="17">
    <w:abstractNumId w:val="12"/>
  </w:num>
  <w:num w:numId="1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0A"/>
    <w:rsid w:val="000261C0"/>
    <w:rsid w:val="0003591A"/>
    <w:rsid w:val="000406B8"/>
    <w:rsid w:val="00050D22"/>
    <w:rsid w:val="00054DE1"/>
    <w:rsid w:val="00060117"/>
    <w:rsid w:val="00084731"/>
    <w:rsid w:val="00090B05"/>
    <w:rsid w:val="000A5178"/>
    <w:rsid w:val="000E6C28"/>
    <w:rsid w:val="000F274B"/>
    <w:rsid w:val="000F4D0F"/>
    <w:rsid w:val="000F6071"/>
    <w:rsid w:val="000F7A1B"/>
    <w:rsid w:val="000F7AD2"/>
    <w:rsid w:val="001072B4"/>
    <w:rsid w:val="00113A44"/>
    <w:rsid w:val="001216C7"/>
    <w:rsid w:val="00140C99"/>
    <w:rsid w:val="0015012F"/>
    <w:rsid w:val="001671A2"/>
    <w:rsid w:val="001D1D38"/>
    <w:rsid w:val="00210527"/>
    <w:rsid w:val="002166BB"/>
    <w:rsid w:val="00264850"/>
    <w:rsid w:val="002A11C0"/>
    <w:rsid w:val="002A660A"/>
    <w:rsid w:val="002B7DC4"/>
    <w:rsid w:val="002C7DD6"/>
    <w:rsid w:val="002D5357"/>
    <w:rsid w:val="002F2E6A"/>
    <w:rsid w:val="00324C2E"/>
    <w:rsid w:val="00344745"/>
    <w:rsid w:val="00345B42"/>
    <w:rsid w:val="00350C19"/>
    <w:rsid w:val="00350D70"/>
    <w:rsid w:val="00356B53"/>
    <w:rsid w:val="00360BAF"/>
    <w:rsid w:val="003843D2"/>
    <w:rsid w:val="003875A7"/>
    <w:rsid w:val="003924C9"/>
    <w:rsid w:val="0039450A"/>
    <w:rsid w:val="003A3BC3"/>
    <w:rsid w:val="003E7C71"/>
    <w:rsid w:val="003F713F"/>
    <w:rsid w:val="00413E57"/>
    <w:rsid w:val="00416BFF"/>
    <w:rsid w:val="00445D1F"/>
    <w:rsid w:val="0045351D"/>
    <w:rsid w:val="0046047A"/>
    <w:rsid w:val="0046709C"/>
    <w:rsid w:val="004704DB"/>
    <w:rsid w:val="00496280"/>
    <w:rsid w:val="004973CD"/>
    <w:rsid w:val="004D3ABB"/>
    <w:rsid w:val="004F6740"/>
    <w:rsid w:val="00504936"/>
    <w:rsid w:val="005058F1"/>
    <w:rsid w:val="005307D1"/>
    <w:rsid w:val="00540480"/>
    <w:rsid w:val="00540C40"/>
    <w:rsid w:val="005602CB"/>
    <w:rsid w:val="00575C67"/>
    <w:rsid w:val="005831F7"/>
    <w:rsid w:val="0058658A"/>
    <w:rsid w:val="00590C36"/>
    <w:rsid w:val="0059426B"/>
    <w:rsid w:val="005C1095"/>
    <w:rsid w:val="005D2DA3"/>
    <w:rsid w:val="005E12D5"/>
    <w:rsid w:val="005E23D5"/>
    <w:rsid w:val="006121C6"/>
    <w:rsid w:val="0061518E"/>
    <w:rsid w:val="00630532"/>
    <w:rsid w:val="00631A84"/>
    <w:rsid w:val="006563C5"/>
    <w:rsid w:val="00663093"/>
    <w:rsid w:val="006702D2"/>
    <w:rsid w:val="0067538A"/>
    <w:rsid w:val="00693656"/>
    <w:rsid w:val="006D0028"/>
    <w:rsid w:val="006D4204"/>
    <w:rsid w:val="00707C87"/>
    <w:rsid w:val="007161EF"/>
    <w:rsid w:val="007214D1"/>
    <w:rsid w:val="0074357D"/>
    <w:rsid w:val="0074360E"/>
    <w:rsid w:val="007662D9"/>
    <w:rsid w:val="00772D75"/>
    <w:rsid w:val="00776884"/>
    <w:rsid w:val="00787413"/>
    <w:rsid w:val="007A4C81"/>
    <w:rsid w:val="007B28EE"/>
    <w:rsid w:val="007C1889"/>
    <w:rsid w:val="007F474D"/>
    <w:rsid w:val="00811A6F"/>
    <w:rsid w:val="00817AAC"/>
    <w:rsid w:val="00825FD9"/>
    <w:rsid w:val="0088587A"/>
    <w:rsid w:val="0089449E"/>
    <w:rsid w:val="008A1F14"/>
    <w:rsid w:val="008B4D54"/>
    <w:rsid w:val="008F5A22"/>
    <w:rsid w:val="00915C25"/>
    <w:rsid w:val="00917608"/>
    <w:rsid w:val="00947B69"/>
    <w:rsid w:val="009511A2"/>
    <w:rsid w:val="0097099E"/>
    <w:rsid w:val="0098449B"/>
    <w:rsid w:val="0099552E"/>
    <w:rsid w:val="009A1902"/>
    <w:rsid w:val="009A73B1"/>
    <w:rsid w:val="009C27EE"/>
    <w:rsid w:val="009C6FDD"/>
    <w:rsid w:val="009D3014"/>
    <w:rsid w:val="009F32AF"/>
    <w:rsid w:val="00A13BBF"/>
    <w:rsid w:val="00A2043D"/>
    <w:rsid w:val="00A21364"/>
    <w:rsid w:val="00A241C4"/>
    <w:rsid w:val="00A454FB"/>
    <w:rsid w:val="00A45BEE"/>
    <w:rsid w:val="00A47A09"/>
    <w:rsid w:val="00A514D7"/>
    <w:rsid w:val="00A53534"/>
    <w:rsid w:val="00A56513"/>
    <w:rsid w:val="00A5750F"/>
    <w:rsid w:val="00A61654"/>
    <w:rsid w:val="00A763BC"/>
    <w:rsid w:val="00A7787A"/>
    <w:rsid w:val="00A8159A"/>
    <w:rsid w:val="00A923FD"/>
    <w:rsid w:val="00A936EC"/>
    <w:rsid w:val="00AB2E22"/>
    <w:rsid w:val="00AC59E8"/>
    <w:rsid w:val="00AD0502"/>
    <w:rsid w:val="00AD0D67"/>
    <w:rsid w:val="00AF02B6"/>
    <w:rsid w:val="00AF545E"/>
    <w:rsid w:val="00B035CB"/>
    <w:rsid w:val="00B13579"/>
    <w:rsid w:val="00B17E95"/>
    <w:rsid w:val="00B22D30"/>
    <w:rsid w:val="00B2443A"/>
    <w:rsid w:val="00B26FE3"/>
    <w:rsid w:val="00B33A16"/>
    <w:rsid w:val="00B36B88"/>
    <w:rsid w:val="00B41BEF"/>
    <w:rsid w:val="00B420F8"/>
    <w:rsid w:val="00B4511E"/>
    <w:rsid w:val="00B5469D"/>
    <w:rsid w:val="00B56CDC"/>
    <w:rsid w:val="00B83469"/>
    <w:rsid w:val="00B84929"/>
    <w:rsid w:val="00BA52C7"/>
    <w:rsid w:val="00BA7621"/>
    <w:rsid w:val="00BB4484"/>
    <w:rsid w:val="00BB4A08"/>
    <w:rsid w:val="00C3617E"/>
    <w:rsid w:val="00C37DF3"/>
    <w:rsid w:val="00C443BA"/>
    <w:rsid w:val="00C76C7E"/>
    <w:rsid w:val="00C8005D"/>
    <w:rsid w:val="00C94A82"/>
    <w:rsid w:val="00C97A35"/>
    <w:rsid w:val="00CB4C24"/>
    <w:rsid w:val="00CB7060"/>
    <w:rsid w:val="00CD63DC"/>
    <w:rsid w:val="00CE1DF3"/>
    <w:rsid w:val="00CE3065"/>
    <w:rsid w:val="00CF6265"/>
    <w:rsid w:val="00D00C08"/>
    <w:rsid w:val="00D013D5"/>
    <w:rsid w:val="00D15130"/>
    <w:rsid w:val="00D4539E"/>
    <w:rsid w:val="00D57CDF"/>
    <w:rsid w:val="00D658D1"/>
    <w:rsid w:val="00D842DB"/>
    <w:rsid w:val="00D87D93"/>
    <w:rsid w:val="00D916DE"/>
    <w:rsid w:val="00DB3601"/>
    <w:rsid w:val="00DE1E6C"/>
    <w:rsid w:val="00DE203F"/>
    <w:rsid w:val="00DE5F32"/>
    <w:rsid w:val="00E025B8"/>
    <w:rsid w:val="00E25D85"/>
    <w:rsid w:val="00E345B1"/>
    <w:rsid w:val="00E419BF"/>
    <w:rsid w:val="00E73985"/>
    <w:rsid w:val="00E82BE9"/>
    <w:rsid w:val="00E87480"/>
    <w:rsid w:val="00E926F1"/>
    <w:rsid w:val="00EA2034"/>
    <w:rsid w:val="00EA70C6"/>
    <w:rsid w:val="00EB0CA7"/>
    <w:rsid w:val="00EC455A"/>
    <w:rsid w:val="00ED6AD5"/>
    <w:rsid w:val="00F067E4"/>
    <w:rsid w:val="00F06CED"/>
    <w:rsid w:val="00F14CD9"/>
    <w:rsid w:val="00F32670"/>
    <w:rsid w:val="00F40484"/>
    <w:rsid w:val="00F458F8"/>
    <w:rsid w:val="00F50D03"/>
    <w:rsid w:val="00FA053D"/>
    <w:rsid w:val="00FA671E"/>
    <w:rsid w:val="00FB11B3"/>
    <w:rsid w:val="00FD3F7E"/>
    <w:rsid w:val="00FE1371"/>
    <w:rsid w:val="00FE39AA"/>
    <w:rsid w:val="00FE4D79"/>
    <w:rsid w:val="00FE4E5E"/>
    <w:rsid w:val="00FF4278"/>
    <w:rsid w:val="00FF5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character" w:styleId="Hyperlink">
    <w:name w:val="Hyperlink"/>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167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7DF3"/>
    <w:rPr>
      <w:sz w:val="24"/>
    </w:rPr>
  </w:style>
  <w:style w:type="character" w:customStyle="1" w:styleId="HeaderChar">
    <w:name w:val="Header Char"/>
    <w:link w:val="Header"/>
    <w:uiPriority w:val="99"/>
    <w:rsid w:val="00C37DF3"/>
    <w:rPr>
      <w:sz w:val="24"/>
    </w:rPr>
  </w:style>
  <w:style w:type="paragraph" w:styleId="NormalWeb">
    <w:name w:val="Normal (Web)"/>
    <w:basedOn w:val="Normal"/>
    <w:uiPriority w:val="99"/>
    <w:semiHidden/>
    <w:unhideWhenUsed/>
    <w:rsid w:val="00C37DF3"/>
    <w:pPr>
      <w:spacing w:before="100" w:beforeAutospacing="1" w:after="100" w:afterAutospacing="1"/>
    </w:pPr>
    <w:rPr>
      <w:szCs w:val="24"/>
    </w:rPr>
  </w:style>
  <w:style w:type="character" w:styleId="Strong">
    <w:name w:val="Strong"/>
    <w:uiPriority w:val="22"/>
    <w:qFormat/>
    <w:rsid w:val="00C37DF3"/>
    <w:rPr>
      <w:b/>
      <w:bCs/>
    </w:rPr>
  </w:style>
  <w:style w:type="paragraph" w:styleId="BalloonText">
    <w:name w:val="Balloon Text"/>
    <w:basedOn w:val="Normal"/>
    <w:link w:val="BalloonTextChar"/>
    <w:uiPriority w:val="99"/>
    <w:semiHidden/>
    <w:unhideWhenUsed/>
    <w:rsid w:val="00C37DF3"/>
    <w:rPr>
      <w:rFonts w:ascii="Tahoma" w:hAnsi="Tahoma" w:cs="Tahoma"/>
      <w:sz w:val="16"/>
      <w:szCs w:val="16"/>
    </w:rPr>
  </w:style>
  <w:style w:type="character" w:customStyle="1" w:styleId="BalloonTextChar">
    <w:name w:val="Balloon Text Char"/>
    <w:basedOn w:val="DefaultParagraphFont"/>
    <w:link w:val="BalloonText"/>
    <w:uiPriority w:val="99"/>
    <w:semiHidden/>
    <w:rsid w:val="00C37DF3"/>
    <w:rPr>
      <w:rFonts w:ascii="Tahoma" w:hAnsi="Tahoma" w:cs="Tahoma"/>
      <w:sz w:val="16"/>
      <w:szCs w:val="16"/>
    </w:rPr>
  </w:style>
  <w:style w:type="character" w:customStyle="1" w:styleId="text">
    <w:name w:val="text"/>
    <w:rsid w:val="00C37DF3"/>
    <w:rPr>
      <w:rFonts w:ascii="Arial Unicode MS" w:eastAsia="Arial Unicode MS" w:hAnsi="Arial Unicode MS" w:cs="Arial Unicode MS"/>
      <w:sz w:val="20"/>
      <w:szCs w:val="20"/>
    </w:rPr>
  </w:style>
  <w:style w:type="paragraph" w:customStyle="1" w:styleId="headingheader">
    <w:name w:val="heading header"/>
    <w:rsid w:val="00C37DF3"/>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C37DF3"/>
    <w:pPr>
      <w:spacing w:after="200" w:line="276" w:lineRule="auto"/>
    </w:pPr>
    <w:rPr>
      <w:rFonts w:ascii="Arial Unicode MS" w:eastAsia="Arial Unicode MS" w:hAnsi="Arial Unicode MS" w:cs="Arial Unicode MS"/>
      <w:b/>
      <w:sz w:val="32"/>
      <w:szCs w:val="32"/>
    </w:rPr>
  </w:style>
  <w:style w:type="paragraph" w:customStyle="1" w:styleId="headingsubHeader">
    <w:name w:val="heading subHeader"/>
    <w:rsid w:val="00C37DF3"/>
    <w:pPr>
      <w:spacing w:after="200" w:line="276" w:lineRule="auto"/>
    </w:pPr>
    <w:rPr>
      <w:rFonts w:ascii="Arial Unicode MS" w:eastAsia="Arial Unicode MS" w:hAnsi="Arial Unicode MS" w:cs="Arial Unicode MS"/>
      <w:b/>
      <w:sz w:val="24"/>
      <w:szCs w:val="24"/>
    </w:rPr>
  </w:style>
  <w:style w:type="character" w:customStyle="1" w:styleId="bold">
    <w:name w:val="bold"/>
    <w:rsid w:val="00C37DF3"/>
    <w:rPr>
      <w:rFonts w:ascii="Arial Unicode MS" w:eastAsia="Arial Unicode MS" w:hAnsi="Arial Unicode MS" w:cs="Arial Unicode MS"/>
      <w:b/>
      <w:sz w:val="20"/>
      <w:szCs w:val="20"/>
    </w:rPr>
  </w:style>
  <w:style w:type="character" w:customStyle="1" w:styleId="grey">
    <w:name w:val="grey"/>
    <w:rsid w:val="00C37DF3"/>
    <w:rPr>
      <w:rFonts w:ascii="Arial Unicode MS" w:eastAsia="Arial Unicode MS" w:hAnsi="Arial Unicode MS" w:cs="Arial Unicode MS"/>
      <w:color w:val="999999"/>
      <w:sz w:val="20"/>
      <w:szCs w:val="20"/>
    </w:rPr>
  </w:style>
  <w:style w:type="table" w:customStyle="1" w:styleId="table">
    <w:name w:val="table"/>
    <w:uiPriority w:val="99"/>
    <w:rsid w:val="00C37DF3"/>
    <w:pPr>
      <w:spacing w:after="200" w:line="276" w:lineRule="auto"/>
    </w:pPr>
    <w:rPr>
      <w:rFonts w:ascii="Arial" w:eastAsia="Arial" w:hAnsi="Arial" w:cs="Arial"/>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character" w:customStyle="1" w:styleId="Heading1Char">
    <w:name w:val="Heading 1 Char"/>
    <w:link w:val="Heading1"/>
    <w:uiPriority w:val="9"/>
    <w:rsid w:val="00C37DF3"/>
    <w:rPr>
      <w:b/>
      <w:sz w:val="24"/>
    </w:rPr>
  </w:style>
  <w:style w:type="paragraph" w:styleId="TOCHeading">
    <w:name w:val="TOC Heading"/>
    <w:basedOn w:val="Heading1"/>
    <w:next w:val="Normal"/>
    <w:uiPriority w:val="39"/>
    <w:unhideWhenUsed/>
    <w:qFormat/>
    <w:rsid w:val="00C37DF3"/>
    <w:pPr>
      <w:keepLines/>
      <w:spacing w:before="480" w:line="276" w:lineRule="auto"/>
      <w:jc w:val="left"/>
      <w:outlineLvl w:val="9"/>
    </w:pPr>
    <w:rPr>
      <w:rFonts w:ascii="Franklin Gothic Medium" w:hAnsi="Franklin Gothic Medium"/>
      <w:bCs/>
      <w:color w:val="5A5C5E"/>
      <w:sz w:val="28"/>
      <w:szCs w:val="28"/>
      <w:lang w:val="en-US" w:eastAsia="ja-JP"/>
    </w:rPr>
  </w:style>
  <w:style w:type="paragraph" w:styleId="TOC2">
    <w:name w:val="toc 2"/>
    <w:basedOn w:val="Normal"/>
    <w:next w:val="Normal"/>
    <w:autoRedefine/>
    <w:uiPriority w:val="39"/>
    <w:semiHidden/>
    <w:unhideWhenUsed/>
    <w:qFormat/>
    <w:rsid w:val="00C37DF3"/>
    <w:pPr>
      <w:spacing w:after="100" w:line="276" w:lineRule="auto"/>
      <w:ind w:left="220"/>
    </w:pPr>
    <w:rPr>
      <w:rFonts w:ascii="Franklin Gothic Book" w:hAnsi="Franklin Gothic Book"/>
      <w:sz w:val="22"/>
      <w:szCs w:val="22"/>
      <w:lang w:val="en-US" w:eastAsia="ja-JP"/>
    </w:rPr>
  </w:style>
  <w:style w:type="paragraph" w:styleId="TOC1">
    <w:name w:val="toc 1"/>
    <w:basedOn w:val="Normal"/>
    <w:next w:val="Normal"/>
    <w:autoRedefine/>
    <w:uiPriority w:val="39"/>
    <w:semiHidden/>
    <w:unhideWhenUsed/>
    <w:qFormat/>
    <w:rsid w:val="00C37DF3"/>
    <w:pPr>
      <w:spacing w:after="100" w:line="276" w:lineRule="auto"/>
    </w:pPr>
    <w:rPr>
      <w:rFonts w:ascii="Franklin Gothic Book" w:hAnsi="Franklin Gothic Book"/>
      <w:sz w:val="22"/>
      <w:szCs w:val="22"/>
      <w:lang w:val="en-US" w:eastAsia="ja-JP"/>
    </w:rPr>
  </w:style>
  <w:style w:type="paragraph" w:styleId="TOC3">
    <w:name w:val="toc 3"/>
    <w:basedOn w:val="Normal"/>
    <w:next w:val="Normal"/>
    <w:autoRedefine/>
    <w:uiPriority w:val="39"/>
    <w:unhideWhenUsed/>
    <w:qFormat/>
    <w:rsid w:val="00C37DF3"/>
    <w:pPr>
      <w:spacing w:after="100" w:line="276" w:lineRule="auto"/>
      <w:ind w:left="446"/>
    </w:pPr>
    <w:rPr>
      <w:rFonts w:ascii="Calibri" w:hAnsi="Calibri"/>
      <w:sz w:val="20"/>
      <w:lang w:val="en-US" w:eastAsia="ja-JP"/>
    </w:rPr>
  </w:style>
  <w:style w:type="paragraph" w:customStyle="1" w:styleId="CharCharCharCharChar">
    <w:name w:val="Char Char Char Char Char"/>
    <w:basedOn w:val="Normal"/>
    <w:rsid w:val="001216C7"/>
    <w:pPr>
      <w:spacing w:after="160" w:line="240" w:lineRule="exact"/>
    </w:pPr>
    <w:rPr>
      <w:rFonts w:ascii="Verdana" w:hAnsi="Verdana"/>
      <w:b/>
      <w:sz w:val="20"/>
      <w:lang w:val="en-US" w:eastAsia="en-US"/>
    </w:rPr>
  </w:style>
  <w:style w:type="character" w:styleId="CommentReference">
    <w:name w:val="annotation reference"/>
    <w:basedOn w:val="DefaultParagraphFont"/>
    <w:uiPriority w:val="99"/>
    <w:semiHidden/>
    <w:unhideWhenUsed/>
    <w:rsid w:val="00E419BF"/>
    <w:rPr>
      <w:sz w:val="16"/>
      <w:szCs w:val="16"/>
    </w:rPr>
  </w:style>
  <w:style w:type="paragraph" w:styleId="CommentText">
    <w:name w:val="annotation text"/>
    <w:basedOn w:val="Normal"/>
    <w:link w:val="CommentTextChar"/>
    <w:uiPriority w:val="99"/>
    <w:semiHidden/>
    <w:unhideWhenUsed/>
    <w:rsid w:val="00E419BF"/>
    <w:rPr>
      <w:sz w:val="20"/>
    </w:rPr>
  </w:style>
  <w:style w:type="character" w:customStyle="1" w:styleId="CommentTextChar">
    <w:name w:val="Comment Text Char"/>
    <w:basedOn w:val="DefaultParagraphFont"/>
    <w:link w:val="CommentText"/>
    <w:uiPriority w:val="99"/>
    <w:semiHidden/>
    <w:rsid w:val="00E419BF"/>
  </w:style>
  <w:style w:type="paragraph" w:styleId="CommentSubject">
    <w:name w:val="annotation subject"/>
    <w:basedOn w:val="CommentText"/>
    <w:next w:val="CommentText"/>
    <w:link w:val="CommentSubjectChar"/>
    <w:uiPriority w:val="99"/>
    <w:semiHidden/>
    <w:unhideWhenUsed/>
    <w:rsid w:val="00E419BF"/>
    <w:rPr>
      <w:b/>
      <w:bCs/>
    </w:rPr>
  </w:style>
  <w:style w:type="character" w:customStyle="1" w:styleId="CommentSubjectChar">
    <w:name w:val="Comment Subject Char"/>
    <w:basedOn w:val="CommentTextChar"/>
    <w:link w:val="CommentSubject"/>
    <w:uiPriority w:val="99"/>
    <w:semiHidden/>
    <w:rsid w:val="00E419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character" w:styleId="Hyperlink">
    <w:name w:val="Hyperlink"/>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167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7DF3"/>
    <w:rPr>
      <w:sz w:val="24"/>
    </w:rPr>
  </w:style>
  <w:style w:type="character" w:customStyle="1" w:styleId="HeaderChar">
    <w:name w:val="Header Char"/>
    <w:link w:val="Header"/>
    <w:uiPriority w:val="99"/>
    <w:rsid w:val="00C37DF3"/>
    <w:rPr>
      <w:sz w:val="24"/>
    </w:rPr>
  </w:style>
  <w:style w:type="paragraph" w:styleId="NormalWeb">
    <w:name w:val="Normal (Web)"/>
    <w:basedOn w:val="Normal"/>
    <w:uiPriority w:val="99"/>
    <w:semiHidden/>
    <w:unhideWhenUsed/>
    <w:rsid w:val="00C37DF3"/>
    <w:pPr>
      <w:spacing w:before="100" w:beforeAutospacing="1" w:after="100" w:afterAutospacing="1"/>
    </w:pPr>
    <w:rPr>
      <w:szCs w:val="24"/>
    </w:rPr>
  </w:style>
  <w:style w:type="character" w:styleId="Strong">
    <w:name w:val="Strong"/>
    <w:uiPriority w:val="22"/>
    <w:qFormat/>
    <w:rsid w:val="00C37DF3"/>
    <w:rPr>
      <w:b/>
      <w:bCs/>
    </w:rPr>
  </w:style>
  <w:style w:type="paragraph" w:styleId="BalloonText">
    <w:name w:val="Balloon Text"/>
    <w:basedOn w:val="Normal"/>
    <w:link w:val="BalloonTextChar"/>
    <w:uiPriority w:val="99"/>
    <w:semiHidden/>
    <w:unhideWhenUsed/>
    <w:rsid w:val="00C37DF3"/>
    <w:rPr>
      <w:rFonts w:ascii="Tahoma" w:hAnsi="Tahoma" w:cs="Tahoma"/>
      <w:sz w:val="16"/>
      <w:szCs w:val="16"/>
    </w:rPr>
  </w:style>
  <w:style w:type="character" w:customStyle="1" w:styleId="BalloonTextChar">
    <w:name w:val="Balloon Text Char"/>
    <w:basedOn w:val="DefaultParagraphFont"/>
    <w:link w:val="BalloonText"/>
    <w:uiPriority w:val="99"/>
    <w:semiHidden/>
    <w:rsid w:val="00C37DF3"/>
    <w:rPr>
      <w:rFonts w:ascii="Tahoma" w:hAnsi="Tahoma" w:cs="Tahoma"/>
      <w:sz w:val="16"/>
      <w:szCs w:val="16"/>
    </w:rPr>
  </w:style>
  <w:style w:type="character" w:customStyle="1" w:styleId="text">
    <w:name w:val="text"/>
    <w:rsid w:val="00C37DF3"/>
    <w:rPr>
      <w:rFonts w:ascii="Arial Unicode MS" w:eastAsia="Arial Unicode MS" w:hAnsi="Arial Unicode MS" w:cs="Arial Unicode MS"/>
      <w:sz w:val="20"/>
      <w:szCs w:val="20"/>
    </w:rPr>
  </w:style>
  <w:style w:type="paragraph" w:customStyle="1" w:styleId="headingheader">
    <w:name w:val="heading header"/>
    <w:rsid w:val="00C37DF3"/>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C37DF3"/>
    <w:pPr>
      <w:spacing w:after="200" w:line="276" w:lineRule="auto"/>
    </w:pPr>
    <w:rPr>
      <w:rFonts w:ascii="Arial Unicode MS" w:eastAsia="Arial Unicode MS" w:hAnsi="Arial Unicode MS" w:cs="Arial Unicode MS"/>
      <w:b/>
      <w:sz w:val="32"/>
      <w:szCs w:val="32"/>
    </w:rPr>
  </w:style>
  <w:style w:type="paragraph" w:customStyle="1" w:styleId="headingsubHeader">
    <w:name w:val="heading subHeader"/>
    <w:rsid w:val="00C37DF3"/>
    <w:pPr>
      <w:spacing w:after="200" w:line="276" w:lineRule="auto"/>
    </w:pPr>
    <w:rPr>
      <w:rFonts w:ascii="Arial Unicode MS" w:eastAsia="Arial Unicode MS" w:hAnsi="Arial Unicode MS" w:cs="Arial Unicode MS"/>
      <w:b/>
      <w:sz w:val="24"/>
      <w:szCs w:val="24"/>
    </w:rPr>
  </w:style>
  <w:style w:type="character" w:customStyle="1" w:styleId="bold">
    <w:name w:val="bold"/>
    <w:rsid w:val="00C37DF3"/>
    <w:rPr>
      <w:rFonts w:ascii="Arial Unicode MS" w:eastAsia="Arial Unicode MS" w:hAnsi="Arial Unicode MS" w:cs="Arial Unicode MS"/>
      <w:b/>
      <w:sz w:val="20"/>
      <w:szCs w:val="20"/>
    </w:rPr>
  </w:style>
  <w:style w:type="character" w:customStyle="1" w:styleId="grey">
    <w:name w:val="grey"/>
    <w:rsid w:val="00C37DF3"/>
    <w:rPr>
      <w:rFonts w:ascii="Arial Unicode MS" w:eastAsia="Arial Unicode MS" w:hAnsi="Arial Unicode MS" w:cs="Arial Unicode MS"/>
      <w:color w:val="999999"/>
      <w:sz w:val="20"/>
      <w:szCs w:val="20"/>
    </w:rPr>
  </w:style>
  <w:style w:type="table" w:customStyle="1" w:styleId="table">
    <w:name w:val="table"/>
    <w:uiPriority w:val="99"/>
    <w:rsid w:val="00C37DF3"/>
    <w:pPr>
      <w:spacing w:after="200" w:line="276" w:lineRule="auto"/>
    </w:pPr>
    <w:rPr>
      <w:rFonts w:ascii="Arial" w:eastAsia="Arial" w:hAnsi="Arial" w:cs="Arial"/>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character" w:customStyle="1" w:styleId="Heading1Char">
    <w:name w:val="Heading 1 Char"/>
    <w:link w:val="Heading1"/>
    <w:uiPriority w:val="9"/>
    <w:rsid w:val="00C37DF3"/>
    <w:rPr>
      <w:b/>
      <w:sz w:val="24"/>
    </w:rPr>
  </w:style>
  <w:style w:type="paragraph" w:styleId="TOCHeading">
    <w:name w:val="TOC Heading"/>
    <w:basedOn w:val="Heading1"/>
    <w:next w:val="Normal"/>
    <w:uiPriority w:val="39"/>
    <w:unhideWhenUsed/>
    <w:qFormat/>
    <w:rsid w:val="00C37DF3"/>
    <w:pPr>
      <w:keepLines/>
      <w:spacing w:before="480" w:line="276" w:lineRule="auto"/>
      <w:jc w:val="left"/>
      <w:outlineLvl w:val="9"/>
    </w:pPr>
    <w:rPr>
      <w:rFonts w:ascii="Franklin Gothic Medium" w:hAnsi="Franklin Gothic Medium"/>
      <w:bCs/>
      <w:color w:val="5A5C5E"/>
      <w:sz w:val="28"/>
      <w:szCs w:val="28"/>
      <w:lang w:val="en-US" w:eastAsia="ja-JP"/>
    </w:rPr>
  </w:style>
  <w:style w:type="paragraph" w:styleId="TOC2">
    <w:name w:val="toc 2"/>
    <w:basedOn w:val="Normal"/>
    <w:next w:val="Normal"/>
    <w:autoRedefine/>
    <w:uiPriority w:val="39"/>
    <w:semiHidden/>
    <w:unhideWhenUsed/>
    <w:qFormat/>
    <w:rsid w:val="00C37DF3"/>
    <w:pPr>
      <w:spacing w:after="100" w:line="276" w:lineRule="auto"/>
      <w:ind w:left="220"/>
    </w:pPr>
    <w:rPr>
      <w:rFonts w:ascii="Franklin Gothic Book" w:hAnsi="Franklin Gothic Book"/>
      <w:sz w:val="22"/>
      <w:szCs w:val="22"/>
      <w:lang w:val="en-US" w:eastAsia="ja-JP"/>
    </w:rPr>
  </w:style>
  <w:style w:type="paragraph" w:styleId="TOC1">
    <w:name w:val="toc 1"/>
    <w:basedOn w:val="Normal"/>
    <w:next w:val="Normal"/>
    <w:autoRedefine/>
    <w:uiPriority w:val="39"/>
    <w:semiHidden/>
    <w:unhideWhenUsed/>
    <w:qFormat/>
    <w:rsid w:val="00C37DF3"/>
    <w:pPr>
      <w:spacing w:after="100" w:line="276" w:lineRule="auto"/>
    </w:pPr>
    <w:rPr>
      <w:rFonts w:ascii="Franklin Gothic Book" w:hAnsi="Franklin Gothic Book"/>
      <w:sz w:val="22"/>
      <w:szCs w:val="22"/>
      <w:lang w:val="en-US" w:eastAsia="ja-JP"/>
    </w:rPr>
  </w:style>
  <w:style w:type="paragraph" w:styleId="TOC3">
    <w:name w:val="toc 3"/>
    <w:basedOn w:val="Normal"/>
    <w:next w:val="Normal"/>
    <w:autoRedefine/>
    <w:uiPriority w:val="39"/>
    <w:unhideWhenUsed/>
    <w:qFormat/>
    <w:rsid w:val="00C37DF3"/>
    <w:pPr>
      <w:spacing w:after="100" w:line="276" w:lineRule="auto"/>
      <w:ind w:left="446"/>
    </w:pPr>
    <w:rPr>
      <w:rFonts w:ascii="Calibri" w:hAnsi="Calibri"/>
      <w:sz w:val="20"/>
      <w:lang w:val="en-US" w:eastAsia="ja-JP"/>
    </w:rPr>
  </w:style>
  <w:style w:type="paragraph" w:customStyle="1" w:styleId="CharCharCharCharChar">
    <w:name w:val="Char Char Char Char Char"/>
    <w:basedOn w:val="Normal"/>
    <w:rsid w:val="001216C7"/>
    <w:pPr>
      <w:spacing w:after="160" w:line="240" w:lineRule="exact"/>
    </w:pPr>
    <w:rPr>
      <w:rFonts w:ascii="Verdana" w:hAnsi="Verdana"/>
      <w:b/>
      <w:sz w:val="20"/>
      <w:lang w:val="en-US" w:eastAsia="en-US"/>
    </w:rPr>
  </w:style>
  <w:style w:type="character" w:styleId="CommentReference">
    <w:name w:val="annotation reference"/>
    <w:basedOn w:val="DefaultParagraphFont"/>
    <w:uiPriority w:val="99"/>
    <w:semiHidden/>
    <w:unhideWhenUsed/>
    <w:rsid w:val="00E419BF"/>
    <w:rPr>
      <w:sz w:val="16"/>
      <w:szCs w:val="16"/>
    </w:rPr>
  </w:style>
  <w:style w:type="paragraph" w:styleId="CommentText">
    <w:name w:val="annotation text"/>
    <w:basedOn w:val="Normal"/>
    <w:link w:val="CommentTextChar"/>
    <w:uiPriority w:val="99"/>
    <w:semiHidden/>
    <w:unhideWhenUsed/>
    <w:rsid w:val="00E419BF"/>
    <w:rPr>
      <w:sz w:val="20"/>
    </w:rPr>
  </w:style>
  <w:style w:type="character" w:customStyle="1" w:styleId="CommentTextChar">
    <w:name w:val="Comment Text Char"/>
    <w:basedOn w:val="DefaultParagraphFont"/>
    <w:link w:val="CommentText"/>
    <w:uiPriority w:val="99"/>
    <w:semiHidden/>
    <w:rsid w:val="00E419BF"/>
  </w:style>
  <w:style w:type="paragraph" w:styleId="CommentSubject">
    <w:name w:val="annotation subject"/>
    <w:basedOn w:val="CommentText"/>
    <w:next w:val="CommentText"/>
    <w:link w:val="CommentSubjectChar"/>
    <w:uiPriority w:val="99"/>
    <w:semiHidden/>
    <w:unhideWhenUsed/>
    <w:rsid w:val="00E419BF"/>
    <w:rPr>
      <w:b/>
      <w:bCs/>
    </w:rPr>
  </w:style>
  <w:style w:type="character" w:customStyle="1" w:styleId="CommentSubjectChar">
    <w:name w:val="Comment Subject Char"/>
    <w:basedOn w:val="CommentTextChar"/>
    <w:link w:val="CommentSubject"/>
    <w:uiPriority w:val="99"/>
    <w:semiHidden/>
    <w:rsid w:val="00E41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99077">
      <w:bodyDiv w:val="1"/>
      <w:marLeft w:val="0"/>
      <w:marRight w:val="0"/>
      <w:marTop w:val="0"/>
      <w:marBottom w:val="0"/>
      <w:divBdr>
        <w:top w:val="none" w:sz="0" w:space="0" w:color="auto"/>
        <w:left w:val="none" w:sz="0" w:space="0" w:color="auto"/>
        <w:bottom w:val="none" w:sz="0" w:space="0" w:color="auto"/>
        <w:right w:val="none" w:sz="0" w:space="0" w:color="auto"/>
      </w:divBdr>
    </w:div>
    <w:div w:id="351420972">
      <w:bodyDiv w:val="1"/>
      <w:marLeft w:val="0"/>
      <w:marRight w:val="0"/>
      <w:marTop w:val="0"/>
      <w:marBottom w:val="0"/>
      <w:divBdr>
        <w:top w:val="none" w:sz="0" w:space="0" w:color="auto"/>
        <w:left w:val="none" w:sz="0" w:space="0" w:color="auto"/>
        <w:bottom w:val="none" w:sz="0" w:space="0" w:color="auto"/>
        <w:right w:val="none" w:sz="0" w:space="0" w:color="auto"/>
      </w:divBdr>
    </w:div>
    <w:div w:id="392391549">
      <w:bodyDiv w:val="1"/>
      <w:marLeft w:val="0"/>
      <w:marRight w:val="0"/>
      <w:marTop w:val="0"/>
      <w:marBottom w:val="0"/>
      <w:divBdr>
        <w:top w:val="none" w:sz="0" w:space="0" w:color="auto"/>
        <w:left w:val="none" w:sz="0" w:space="0" w:color="auto"/>
        <w:bottom w:val="none" w:sz="0" w:space="0" w:color="auto"/>
        <w:right w:val="none" w:sz="0" w:space="0" w:color="auto"/>
      </w:divBdr>
    </w:div>
    <w:div w:id="1082408243">
      <w:bodyDiv w:val="1"/>
      <w:marLeft w:val="0"/>
      <w:marRight w:val="0"/>
      <w:marTop w:val="0"/>
      <w:marBottom w:val="0"/>
      <w:divBdr>
        <w:top w:val="none" w:sz="0" w:space="0" w:color="auto"/>
        <w:left w:val="none" w:sz="0" w:space="0" w:color="auto"/>
        <w:bottom w:val="none" w:sz="0" w:space="0" w:color="auto"/>
        <w:right w:val="none" w:sz="0" w:space="0" w:color="auto"/>
      </w:divBdr>
    </w:div>
    <w:div w:id="1650787833">
      <w:bodyDiv w:val="1"/>
      <w:marLeft w:val="0"/>
      <w:marRight w:val="0"/>
      <w:marTop w:val="0"/>
      <w:marBottom w:val="0"/>
      <w:divBdr>
        <w:top w:val="none" w:sz="0" w:space="0" w:color="auto"/>
        <w:left w:val="none" w:sz="0" w:space="0" w:color="auto"/>
        <w:bottom w:val="none" w:sz="0" w:space="0" w:color="auto"/>
        <w:right w:val="none" w:sz="0" w:space="0" w:color="auto"/>
      </w:divBdr>
      <w:divsChild>
        <w:div w:id="389311235">
          <w:marLeft w:val="547"/>
          <w:marRight w:val="0"/>
          <w:marTop w:val="134"/>
          <w:marBottom w:val="0"/>
          <w:divBdr>
            <w:top w:val="none" w:sz="0" w:space="0" w:color="auto"/>
            <w:left w:val="none" w:sz="0" w:space="0" w:color="auto"/>
            <w:bottom w:val="none" w:sz="0" w:space="0" w:color="auto"/>
            <w:right w:val="none" w:sz="0" w:space="0" w:color="auto"/>
          </w:divBdr>
        </w:div>
        <w:div w:id="396442604">
          <w:marLeft w:val="547"/>
          <w:marRight w:val="0"/>
          <w:marTop w:val="134"/>
          <w:marBottom w:val="0"/>
          <w:divBdr>
            <w:top w:val="none" w:sz="0" w:space="0" w:color="auto"/>
            <w:left w:val="none" w:sz="0" w:space="0" w:color="auto"/>
            <w:bottom w:val="none" w:sz="0" w:space="0" w:color="auto"/>
            <w:right w:val="none" w:sz="0" w:space="0" w:color="auto"/>
          </w:divBdr>
        </w:div>
        <w:div w:id="2018314089">
          <w:marLeft w:val="547"/>
          <w:marRight w:val="0"/>
          <w:marTop w:val="134"/>
          <w:marBottom w:val="0"/>
          <w:divBdr>
            <w:top w:val="none" w:sz="0" w:space="0" w:color="auto"/>
            <w:left w:val="none" w:sz="0" w:space="0" w:color="auto"/>
            <w:bottom w:val="none" w:sz="0" w:space="0" w:color="auto"/>
            <w:right w:val="none" w:sz="0" w:space="0" w:color="auto"/>
          </w:divBdr>
        </w:div>
      </w:divsChild>
    </w:div>
    <w:div w:id="1778482488">
      <w:bodyDiv w:val="1"/>
      <w:marLeft w:val="0"/>
      <w:marRight w:val="0"/>
      <w:marTop w:val="0"/>
      <w:marBottom w:val="0"/>
      <w:divBdr>
        <w:top w:val="none" w:sz="0" w:space="0" w:color="auto"/>
        <w:left w:val="none" w:sz="0" w:space="0" w:color="auto"/>
        <w:bottom w:val="none" w:sz="0" w:space="0" w:color="auto"/>
        <w:right w:val="none" w:sz="0" w:space="0" w:color="auto"/>
      </w:divBdr>
    </w:div>
    <w:div w:id="1833061346">
      <w:bodyDiv w:val="1"/>
      <w:marLeft w:val="0"/>
      <w:marRight w:val="0"/>
      <w:marTop w:val="0"/>
      <w:marBottom w:val="0"/>
      <w:divBdr>
        <w:top w:val="none" w:sz="0" w:space="0" w:color="auto"/>
        <w:left w:val="none" w:sz="0" w:space="0" w:color="auto"/>
        <w:bottom w:val="none" w:sz="0" w:space="0" w:color="auto"/>
        <w:right w:val="none" w:sz="0" w:space="0" w:color="auto"/>
      </w:divBdr>
    </w:div>
    <w:div w:id="2103910397">
      <w:bodyDiv w:val="1"/>
      <w:marLeft w:val="0"/>
      <w:marRight w:val="0"/>
      <w:marTop w:val="0"/>
      <w:marBottom w:val="0"/>
      <w:divBdr>
        <w:top w:val="none" w:sz="0" w:space="0" w:color="auto"/>
        <w:left w:val="none" w:sz="0" w:space="0" w:color="auto"/>
        <w:bottom w:val="none" w:sz="0" w:space="0" w:color="auto"/>
        <w:right w:val="none" w:sz="0" w:space="0" w:color="auto"/>
      </w:divBdr>
      <w:divsChild>
        <w:div w:id="978729147">
          <w:marLeft w:val="0"/>
          <w:marRight w:val="0"/>
          <w:marTop w:val="0"/>
          <w:marBottom w:val="0"/>
          <w:divBdr>
            <w:top w:val="none" w:sz="0" w:space="0" w:color="auto"/>
            <w:left w:val="none" w:sz="0" w:space="0" w:color="auto"/>
            <w:bottom w:val="none" w:sz="0" w:space="0" w:color="auto"/>
            <w:right w:val="none" w:sz="0" w:space="0" w:color="auto"/>
          </w:divBdr>
          <w:divsChild>
            <w:div w:id="729353295">
              <w:marLeft w:val="0"/>
              <w:marRight w:val="0"/>
              <w:marTop w:val="0"/>
              <w:marBottom w:val="0"/>
              <w:divBdr>
                <w:top w:val="none" w:sz="0" w:space="0" w:color="auto"/>
                <w:left w:val="none" w:sz="0" w:space="0" w:color="auto"/>
                <w:bottom w:val="none" w:sz="0" w:space="0" w:color="auto"/>
                <w:right w:val="none" w:sz="0" w:space="0" w:color="auto"/>
              </w:divBdr>
              <w:divsChild>
                <w:div w:id="471168696">
                  <w:marLeft w:val="0"/>
                  <w:marRight w:val="0"/>
                  <w:marTop w:val="0"/>
                  <w:marBottom w:val="0"/>
                  <w:divBdr>
                    <w:top w:val="none" w:sz="0" w:space="0" w:color="auto"/>
                    <w:left w:val="none" w:sz="0" w:space="0" w:color="auto"/>
                    <w:bottom w:val="none" w:sz="0" w:space="0" w:color="auto"/>
                    <w:right w:val="none" w:sz="0" w:space="0" w:color="auto"/>
                  </w:divBdr>
                  <w:divsChild>
                    <w:div w:id="1616790980">
                      <w:marLeft w:val="0"/>
                      <w:marRight w:val="0"/>
                      <w:marTop w:val="0"/>
                      <w:marBottom w:val="0"/>
                      <w:divBdr>
                        <w:top w:val="none" w:sz="0" w:space="0" w:color="auto"/>
                        <w:left w:val="none" w:sz="0" w:space="0" w:color="auto"/>
                        <w:bottom w:val="none" w:sz="0" w:space="0" w:color="auto"/>
                        <w:right w:val="none" w:sz="0" w:space="0" w:color="auto"/>
                      </w:divBdr>
                      <w:divsChild>
                        <w:div w:id="19200192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8389-4941-47DE-B420-40DE9C21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7</Pages>
  <Words>1489</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THE HIGHLAND COUNCIL</vt:lpstr>
    </vt:vector>
  </TitlesOfParts>
  <Company>.</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Jackie MacKenzie - ECS</cp:lastModifiedBy>
  <cp:revision>26</cp:revision>
  <cp:lastPrinted>2015-08-10T10:54:00Z</cp:lastPrinted>
  <dcterms:created xsi:type="dcterms:W3CDTF">2015-07-21T15:17:00Z</dcterms:created>
  <dcterms:modified xsi:type="dcterms:W3CDTF">2015-08-10T10:56:00Z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540773557</vt:i4>
  </property>
  <property fmtid="{D5CDD505-2E9C-101B-9397-08002B2CF9AE}" pid="3" name="_NewReviewCycle">
    <vt:lpwstr/>
  </property>
  <property fmtid="{D5CDD505-2E9C-101B-9397-08002B2CF9AE}" pid="4" name="_EmailSubject">
    <vt:lpwstr>HLH BOARD MEETING 20 AUGUST 2015</vt:lpwstr>
  </property>
  <property fmtid="{D5CDD505-2E9C-101B-9397-08002B2CF9AE}" pid="5" name="_AuthorEmail">
    <vt:lpwstr>Jackie.MacKenzie@highlifehighland.com</vt:lpwstr>
  </property>
  <property fmtid="{D5CDD505-2E9C-101B-9397-08002B2CF9AE}" pid="6" name="_AuthorEmailDisplayName">
    <vt:lpwstr>Jackie MacKenzie - High Life Highland</vt:lpwstr>
  </property>
</Properties>
</file>