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5398"/>
      </w:tblGrid>
      <w:tr w:rsidR="00286A87" w:rsidRPr="00220978" w14:paraId="18A8009A" w14:textId="77777777" w:rsidTr="00F27A04">
        <w:trPr>
          <w:trHeight w:val="1692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6EC0" w14:textId="30A2E833" w:rsidR="00286A87" w:rsidRPr="00220978" w:rsidRDefault="004D1915" w:rsidP="008F4013">
            <w:pPr>
              <w:tabs>
                <w:tab w:val="left" w:pos="1701"/>
                <w:tab w:val="left" w:pos="226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0978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595F63A4" wp14:editId="7BD4E004">
                  <wp:extent cx="2028825" cy="10287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01D" w14:textId="77777777" w:rsidR="00286A87" w:rsidRPr="00220978" w:rsidRDefault="00286A87" w:rsidP="008F4013">
            <w:pPr>
              <w:tabs>
                <w:tab w:val="left" w:pos="1701"/>
                <w:tab w:val="left" w:pos="2268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AD125BF" w14:textId="77777777" w:rsidR="00286A87" w:rsidRPr="00876C5C" w:rsidRDefault="00286A87" w:rsidP="00286A87">
            <w:pPr>
              <w:rPr>
                <w:rFonts w:ascii="Arial" w:hAnsi="Arial" w:cs="Arial"/>
                <w:szCs w:val="24"/>
              </w:rPr>
            </w:pPr>
            <w:r w:rsidRPr="00876C5C">
              <w:rPr>
                <w:rFonts w:ascii="Arial" w:hAnsi="Arial" w:cs="Arial"/>
                <w:b/>
                <w:szCs w:val="24"/>
              </w:rPr>
              <w:t>HLH purpose, key business objectives and corporate values</w:t>
            </w:r>
            <w:r>
              <w:rPr>
                <w:rFonts w:ascii="Arial" w:hAnsi="Arial" w:cs="Arial"/>
                <w:b/>
                <w:szCs w:val="24"/>
              </w:rPr>
              <w:t xml:space="preserve"> as extracted from the HLH Business Plan </w:t>
            </w:r>
            <w:r w:rsidR="00481828">
              <w:rPr>
                <w:rFonts w:ascii="Arial" w:hAnsi="Arial" w:cs="Arial"/>
                <w:b/>
                <w:szCs w:val="24"/>
              </w:rPr>
              <w:t>2022-27</w:t>
            </w:r>
          </w:p>
          <w:p w14:paraId="54A1E8BA" w14:textId="77777777" w:rsidR="00286A87" w:rsidRDefault="00286A87" w:rsidP="008F4013">
            <w:pPr>
              <w:tabs>
                <w:tab w:val="left" w:pos="1701"/>
                <w:tab w:val="left" w:pos="2268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26A0754" w14:textId="77777777" w:rsidR="00286A87" w:rsidRPr="00286A87" w:rsidRDefault="00286A87" w:rsidP="008F4013">
            <w:pPr>
              <w:tabs>
                <w:tab w:val="left" w:pos="1701"/>
                <w:tab w:val="left" w:pos="2268"/>
              </w:tabs>
              <w:rPr>
                <w:rFonts w:ascii="Arial" w:hAnsi="Arial" w:cs="Arial"/>
                <w:i/>
                <w:sz w:val="20"/>
              </w:rPr>
            </w:pPr>
            <w:r w:rsidRPr="00286A87">
              <w:rPr>
                <w:rFonts w:ascii="Arial" w:hAnsi="Arial" w:cs="Arial"/>
                <w:i/>
                <w:sz w:val="20"/>
              </w:rPr>
              <w:t xml:space="preserve">Updated </w:t>
            </w:r>
            <w:r w:rsidR="007D41B5">
              <w:rPr>
                <w:rFonts w:ascii="Arial" w:hAnsi="Arial" w:cs="Arial"/>
                <w:i/>
                <w:sz w:val="20"/>
              </w:rPr>
              <w:t>21 March 2024</w:t>
            </w:r>
          </w:p>
        </w:tc>
      </w:tr>
    </w:tbl>
    <w:p w14:paraId="64B32A92" w14:textId="77777777" w:rsidR="00876C5C" w:rsidRPr="00C27A74" w:rsidRDefault="00876C5C" w:rsidP="00876C5C">
      <w:pPr>
        <w:jc w:val="both"/>
        <w:rPr>
          <w:rFonts w:ascii="Arial" w:hAnsi="Arial" w:cs="Arial"/>
          <w:szCs w:val="24"/>
        </w:rPr>
      </w:pPr>
    </w:p>
    <w:p w14:paraId="48751335" w14:textId="37B772B0" w:rsidR="00876C5C" w:rsidRPr="00C27A74" w:rsidRDefault="00876C5C" w:rsidP="00876C5C">
      <w:pPr>
        <w:jc w:val="both"/>
        <w:rPr>
          <w:rFonts w:ascii="Arial" w:hAnsi="Arial" w:cs="Arial"/>
          <w:szCs w:val="24"/>
        </w:rPr>
      </w:pPr>
      <w:r w:rsidRPr="00C27A74">
        <w:rPr>
          <w:rFonts w:ascii="Arial" w:hAnsi="Arial" w:cs="Arial"/>
          <w:szCs w:val="24"/>
        </w:rPr>
        <w:t xml:space="preserve">High Life Highland (HLH) is a charity registered in Scotland and a company, Limited by Guarantee, wholly owned by The Highland Council (THC), whose purpose is </w:t>
      </w:r>
      <w:r w:rsidR="00C226DB">
        <w:rPr>
          <w:rFonts w:ascii="Arial" w:hAnsi="Arial" w:cs="Arial"/>
          <w:b/>
          <w:bCs/>
          <w:szCs w:val="24"/>
        </w:rPr>
        <w:t>M</w:t>
      </w:r>
      <w:r w:rsidR="007D41B5" w:rsidRPr="00C226DB">
        <w:rPr>
          <w:rFonts w:ascii="Arial" w:hAnsi="Arial" w:cs="Arial"/>
          <w:b/>
          <w:bCs/>
          <w:szCs w:val="24"/>
        </w:rPr>
        <w:t xml:space="preserve">aking </w:t>
      </w:r>
      <w:r w:rsidR="00C226DB">
        <w:rPr>
          <w:rFonts w:ascii="Arial" w:hAnsi="Arial" w:cs="Arial"/>
          <w:b/>
          <w:bCs/>
          <w:szCs w:val="24"/>
        </w:rPr>
        <w:t>L</w:t>
      </w:r>
      <w:r w:rsidR="007D41B5" w:rsidRPr="00C226DB">
        <w:rPr>
          <w:rFonts w:ascii="Arial" w:hAnsi="Arial" w:cs="Arial"/>
          <w:b/>
          <w:bCs/>
          <w:szCs w:val="24"/>
        </w:rPr>
        <w:t xml:space="preserve">ife </w:t>
      </w:r>
      <w:r w:rsidR="00C226DB">
        <w:rPr>
          <w:rFonts w:ascii="Arial" w:hAnsi="Arial" w:cs="Arial"/>
          <w:b/>
          <w:bCs/>
          <w:szCs w:val="24"/>
        </w:rPr>
        <w:t>B</w:t>
      </w:r>
      <w:r w:rsidR="007D41B5" w:rsidRPr="00C226DB">
        <w:rPr>
          <w:rFonts w:ascii="Arial" w:hAnsi="Arial" w:cs="Arial"/>
          <w:b/>
          <w:bCs/>
          <w:szCs w:val="24"/>
        </w:rPr>
        <w:t>etter</w:t>
      </w:r>
      <w:r w:rsidR="007D41B5">
        <w:rPr>
          <w:rFonts w:ascii="Arial" w:hAnsi="Arial" w:cs="Arial"/>
          <w:szCs w:val="24"/>
        </w:rPr>
        <w:t>.</w:t>
      </w:r>
    </w:p>
    <w:p w14:paraId="4E6EAEDF" w14:textId="77777777" w:rsidR="00876C5C" w:rsidRPr="00C27A74" w:rsidRDefault="00876C5C" w:rsidP="00876C5C">
      <w:pPr>
        <w:rPr>
          <w:rFonts w:ascii="Arial" w:hAnsi="Arial" w:cs="Arial"/>
          <w:szCs w:val="24"/>
        </w:rPr>
      </w:pPr>
    </w:p>
    <w:p w14:paraId="073779F5" w14:textId="77777777" w:rsidR="00876C5C" w:rsidRDefault="00876C5C" w:rsidP="00876C5C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C27A74">
        <w:rPr>
          <w:rFonts w:ascii="Arial" w:hAnsi="Arial" w:cs="Arial"/>
          <w:color w:val="000000"/>
          <w:sz w:val="24"/>
          <w:szCs w:val="24"/>
        </w:rPr>
        <w:t>The main business of HLH is the delivery of a Service Delivery Contract (SDC) for THC across the</w:t>
      </w:r>
      <w:r w:rsidR="00481828">
        <w:rPr>
          <w:rFonts w:ascii="Arial" w:hAnsi="Arial" w:cs="Arial"/>
          <w:color w:val="000000"/>
          <w:sz w:val="24"/>
          <w:szCs w:val="24"/>
        </w:rPr>
        <w:t xml:space="preserve"> Charity’</w:t>
      </w:r>
      <w:r w:rsidRPr="00C27A74">
        <w:rPr>
          <w:rFonts w:ascii="Arial" w:hAnsi="Arial" w:cs="Arial"/>
          <w:color w:val="000000"/>
          <w:sz w:val="24"/>
          <w:szCs w:val="24"/>
        </w:rPr>
        <w:t xml:space="preserve">s </w:t>
      </w:r>
      <w:r w:rsidR="00991D81">
        <w:rPr>
          <w:rFonts w:ascii="Arial" w:hAnsi="Arial" w:cs="Arial"/>
          <w:color w:val="000000"/>
          <w:sz w:val="24"/>
          <w:szCs w:val="24"/>
        </w:rPr>
        <w:t>nine</w:t>
      </w:r>
      <w:r w:rsidRPr="00C27A74">
        <w:rPr>
          <w:rFonts w:ascii="Arial" w:hAnsi="Arial" w:cs="Arial"/>
          <w:color w:val="000000"/>
          <w:sz w:val="24"/>
          <w:szCs w:val="24"/>
        </w:rPr>
        <w:t xml:space="preserve"> areas of work: </w:t>
      </w:r>
    </w:p>
    <w:p w14:paraId="764E506B" w14:textId="77777777" w:rsidR="00482E84" w:rsidRDefault="00482E84" w:rsidP="00876C5C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038"/>
      </w:tblGrid>
      <w:tr w:rsidR="00481828" w:rsidRPr="00DC579D" w14:paraId="7926FDB6" w14:textId="77777777" w:rsidTr="00991D81">
        <w:tc>
          <w:tcPr>
            <w:tcW w:w="2802" w:type="dxa"/>
            <w:shd w:val="clear" w:color="auto" w:fill="auto"/>
          </w:tcPr>
          <w:p w14:paraId="356FFD5A" w14:textId="77777777" w:rsidR="00481828" w:rsidRPr="00DC579D" w:rsidRDefault="00481828" w:rsidP="004818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C579D">
              <w:rPr>
                <w:rFonts w:ascii="Arial" w:hAnsi="Arial" w:cs="Arial"/>
                <w:color w:val="000000"/>
                <w:sz w:val="24"/>
                <w:szCs w:val="24"/>
              </w:rPr>
              <w:t>Adult Learning</w:t>
            </w:r>
          </w:p>
          <w:p w14:paraId="24572F80" w14:textId="77777777" w:rsidR="00481828" w:rsidRPr="00DC579D" w:rsidRDefault="00481828" w:rsidP="004818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C579D">
              <w:rPr>
                <w:rFonts w:ascii="Arial" w:hAnsi="Arial" w:cs="Arial"/>
                <w:color w:val="000000"/>
                <w:sz w:val="24"/>
                <w:szCs w:val="24"/>
              </w:rPr>
              <w:t>Archives</w:t>
            </w:r>
          </w:p>
          <w:p w14:paraId="3FC6181E" w14:textId="77777777" w:rsidR="00481828" w:rsidRPr="00991D81" w:rsidRDefault="00991D81" w:rsidP="004818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Countryside Rangers</w:t>
            </w:r>
          </w:p>
          <w:p w14:paraId="2D980FD7" w14:textId="77777777" w:rsidR="00481828" w:rsidRPr="00AB0B7B" w:rsidRDefault="00481828" w:rsidP="00991D81">
            <w:pPr>
              <w:pStyle w:val="ListParagraph"/>
              <w:spacing w:after="0" w:line="240" w:lineRule="auto"/>
              <w:ind w:left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DA475E2" w14:textId="77777777" w:rsidR="00991D81" w:rsidRDefault="00991D81" w:rsidP="004818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4" w:hanging="4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Leisure Facilities</w:t>
            </w:r>
          </w:p>
          <w:p w14:paraId="694B4394" w14:textId="77777777" w:rsidR="00481828" w:rsidRPr="00AB0B7B" w:rsidRDefault="00481828" w:rsidP="004818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4" w:hanging="4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Libraries</w:t>
            </w:r>
          </w:p>
          <w:p w14:paraId="076C74DD" w14:textId="77777777" w:rsidR="00481828" w:rsidRPr="00991D81" w:rsidRDefault="00481828" w:rsidP="004818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4" w:hanging="42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C579D">
              <w:rPr>
                <w:rFonts w:ascii="Arial" w:hAnsi="Arial" w:cs="Arial"/>
                <w:color w:val="000000"/>
                <w:sz w:val="24"/>
                <w:szCs w:val="24"/>
              </w:rPr>
              <w:t>Museums</w:t>
            </w:r>
            <w:r w:rsidR="00991D81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Galleries</w:t>
            </w:r>
          </w:p>
          <w:p w14:paraId="66CBEB92" w14:textId="77777777" w:rsidR="00481828" w:rsidRPr="00DC579D" w:rsidRDefault="00481828" w:rsidP="00991D81">
            <w:pPr>
              <w:pStyle w:val="ListParagraph"/>
              <w:spacing w:after="0" w:line="240" w:lineRule="auto"/>
              <w:ind w:left="45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14:paraId="38191D1A" w14:textId="77777777" w:rsidR="00991D81" w:rsidRPr="00991D81" w:rsidRDefault="00991D81" w:rsidP="004818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31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Music Development</w:t>
            </w:r>
          </w:p>
          <w:p w14:paraId="367E38DA" w14:textId="77777777" w:rsidR="00481828" w:rsidRPr="00DC579D" w:rsidRDefault="00481828" w:rsidP="004818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31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C579D">
              <w:rPr>
                <w:rFonts w:ascii="Arial" w:hAnsi="Arial" w:cs="Arial"/>
                <w:color w:val="000000"/>
                <w:sz w:val="24"/>
                <w:szCs w:val="24"/>
              </w:rPr>
              <w:t xml:space="preserve">Sport </w:t>
            </w:r>
          </w:p>
          <w:p w14:paraId="2357C4D6" w14:textId="77777777" w:rsidR="00481828" w:rsidRPr="00DC579D" w:rsidRDefault="00481828" w:rsidP="004818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31" w:hanging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79D">
              <w:rPr>
                <w:rFonts w:ascii="Arial" w:hAnsi="Arial" w:cs="Arial"/>
                <w:color w:val="000000"/>
                <w:sz w:val="24"/>
                <w:szCs w:val="24"/>
              </w:rPr>
              <w:t>Youth Work</w:t>
            </w:r>
          </w:p>
        </w:tc>
      </w:tr>
    </w:tbl>
    <w:p w14:paraId="67E02341" w14:textId="77777777" w:rsidR="00876C5C" w:rsidRPr="00C27A74" w:rsidRDefault="00876C5C" w:rsidP="00876C5C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CB5636F" w14:textId="77777777" w:rsidR="00876C5C" w:rsidRPr="00C73684" w:rsidRDefault="00876C5C" w:rsidP="00876C5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Key Business Objectives</w:t>
      </w:r>
    </w:p>
    <w:p w14:paraId="75B46599" w14:textId="77777777" w:rsidR="00876C5C" w:rsidRPr="00C27A74" w:rsidRDefault="00876C5C" w:rsidP="00876C5C">
      <w:pPr>
        <w:rPr>
          <w:rFonts w:ascii="Arial" w:hAnsi="Arial" w:cs="Arial"/>
          <w:szCs w:val="24"/>
        </w:rPr>
      </w:pPr>
    </w:p>
    <w:p w14:paraId="24AA9B57" w14:textId="77777777" w:rsidR="00876C5C" w:rsidRDefault="00876C5C" w:rsidP="00876C5C">
      <w:pPr>
        <w:jc w:val="both"/>
        <w:rPr>
          <w:rFonts w:ascii="Arial" w:hAnsi="Arial" w:cs="Arial"/>
          <w:szCs w:val="24"/>
        </w:rPr>
      </w:pPr>
      <w:r w:rsidRPr="00C27A74">
        <w:rPr>
          <w:rFonts w:ascii="Arial" w:hAnsi="Arial" w:cs="Arial"/>
          <w:szCs w:val="24"/>
        </w:rPr>
        <w:t xml:space="preserve">HLH has </w:t>
      </w:r>
      <w:r w:rsidR="00481828">
        <w:rPr>
          <w:rFonts w:ascii="Arial" w:hAnsi="Arial" w:cs="Arial"/>
          <w:szCs w:val="24"/>
        </w:rPr>
        <w:t xml:space="preserve">eleven </w:t>
      </w:r>
      <w:r w:rsidRPr="00C27A74">
        <w:rPr>
          <w:rFonts w:ascii="Arial" w:hAnsi="Arial" w:cs="Arial"/>
          <w:szCs w:val="24"/>
        </w:rPr>
        <w:t xml:space="preserve">business outcomes which form the basis of </w:t>
      </w:r>
      <w:r w:rsidR="00AB0B7B">
        <w:rPr>
          <w:rFonts w:ascii="Arial" w:hAnsi="Arial" w:cs="Arial"/>
          <w:szCs w:val="24"/>
        </w:rPr>
        <w:t>its work</w:t>
      </w:r>
      <w:r w:rsidRPr="00C27A74">
        <w:rPr>
          <w:rFonts w:ascii="Arial" w:hAnsi="Arial" w:cs="Arial"/>
          <w:szCs w:val="24"/>
        </w:rPr>
        <w:t>:</w:t>
      </w:r>
    </w:p>
    <w:p w14:paraId="40161CB7" w14:textId="77777777" w:rsidR="00286A87" w:rsidRDefault="00286A87" w:rsidP="00876C5C">
      <w:pPr>
        <w:jc w:val="both"/>
        <w:rPr>
          <w:rFonts w:ascii="Arial" w:hAnsi="Arial" w:cs="Arial"/>
          <w:szCs w:val="24"/>
        </w:rPr>
      </w:pPr>
    </w:p>
    <w:p w14:paraId="2B587698" w14:textId="77777777" w:rsidR="00286A87" w:rsidRDefault="00AB0B7B" w:rsidP="00481828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Seek to continuously improve standards of health and safety</w:t>
      </w:r>
      <w:r w:rsidR="00481828">
        <w:rPr>
          <w:rFonts w:ascii="Arial" w:hAnsi="Arial" w:cs="Arial"/>
          <w:szCs w:val="24"/>
        </w:rPr>
        <w:t>.</w:t>
      </w:r>
    </w:p>
    <w:p w14:paraId="7BCA5E16" w14:textId="77777777" w:rsidR="00286A87" w:rsidRDefault="00AB0B7B" w:rsidP="00481828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Commit to the Scottish Government’s zero carbon targets and maintain the highest standards in environmental compliance</w:t>
      </w:r>
      <w:r w:rsidR="00481828">
        <w:rPr>
          <w:rFonts w:ascii="Arial" w:hAnsi="Arial" w:cs="Arial"/>
          <w:szCs w:val="24"/>
        </w:rPr>
        <w:t>.</w:t>
      </w:r>
    </w:p>
    <w:p w14:paraId="1D886D07" w14:textId="77777777" w:rsidR="00286A87" w:rsidRDefault="00AB0B7B" w:rsidP="00481828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research and market analysis to develop and improve services to meet customer needs</w:t>
      </w:r>
      <w:r w:rsidR="00481828">
        <w:rPr>
          <w:rFonts w:ascii="Arial" w:hAnsi="Arial" w:cs="Arial"/>
          <w:szCs w:val="24"/>
        </w:rPr>
        <w:t>.</w:t>
      </w:r>
    </w:p>
    <w:p w14:paraId="15CB62EA" w14:textId="77777777" w:rsidR="00286A87" w:rsidRDefault="00AB0B7B" w:rsidP="00481828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Increase employee satisfaction, </w:t>
      </w:r>
      <w:proofErr w:type="gramStart"/>
      <w:r>
        <w:rPr>
          <w:rFonts w:ascii="Arial" w:hAnsi="Arial" w:cs="Arial"/>
          <w:szCs w:val="24"/>
        </w:rPr>
        <w:t>engagement</w:t>
      </w:r>
      <w:proofErr w:type="gramEnd"/>
      <w:r>
        <w:rPr>
          <w:rFonts w:ascii="Arial" w:hAnsi="Arial" w:cs="Arial"/>
          <w:szCs w:val="24"/>
        </w:rPr>
        <w:t xml:space="preserve"> and development to improve staff recruitment and retention</w:t>
      </w:r>
      <w:r w:rsidR="00481828">
        <w:rPr>
          <w:rFonts w:ascii="Arial" w:hAnsi="Arial" w:cs="Arial"/>
          <w:szCs w:val="24"/>
        </w:rPr>
        <w:t>.</w:t>
      </w:r>
    </w:p>
    <w:p w14:paraId="369E556B" w14:textId="77777777" w:rsidR="00286A87" w:rsidRDefault="00AB0B7B" w:rsidP="00481828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Improve the financial sustainability of the charity</w:t>
      </w:r>
      <w:r w:rsidR="00481828">
        <w:rPr>
          <w:rFonts w:ascii="Arial" w:hAnsi="Arial" w:cs="Arial"/>
          <w:szCs w:val="24"/>
        </w:rPr>
        <w:t>.</w:t>
      </w:r>
    </w:p>
    <w:p w14:paraId="733FBC5D" w14:textId="77777777" w:rsidR="00C87CA8" w:rsidRDefault="00C87CA8" w:rsidP="00481828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Value and strengthen the relationship with THC</w:t>
      </w:r>
      <w:r w:rsidR="00481828">
        <w:rPr>
          <w:rFonts w:ascii="Arial" w:hAnsi="Arial" w:cs="Arial"/>
          <w:szCs w:val="24"/>
        </w:rPr>
        <w:t>.</w:t>
      </w:r>
    </w:p>
    <w:p w14:paraId="6F2A3B76" w14:textId="77777777" w:rsidR="00286A87" w:rsidRDefault="00AB0B7B" w:rsidP="00481828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Develop and deliver the HLH Corporate Programme and seek to attract capital investment</w:t>
      </w:r>
      <w:r w:rsidR="00481828">
        <w:rPr>
          <w:rFonts w:ascii="Arial" w:hAnsi="Arial" w:cs="Arial"/>
          <w:szCs w:val="24"/>
        </w:rPr>
        <w:t>.</w:t>
      </w:r>
    </w:p>
    <w:p w14:paraId="42380B7D" w14:textId="77777777" w:rsidR="00286A87" w:rsidRDefault="00AB0B7B" w:rsidP="00481828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research and market analysis to develop and deliver proactive marketing and promotion of HLH and its services</w:t>
      </w:r>
      <w:r w:rsidR="00481828">
        <w:rPr>
          <w:rFonts w:ascii="Arial" w:hAnsi="Arial" w:cs="Arial"/>
          <w:szCs w:val="24"/>
        </w:rPr>
        <w:t>.</w:t>
      </w:r>
    </w:p>
    <w:p w14:paraId="7B1D8A5B" w14:textId="77777777" w:rsidR="00286A87" w:rsidRDefault="00AB0B7B" w:rsidP="00481828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Initiate and implement an ICT digital transformation strategy across the charity</w:t>
      </w:r>
      <w:r w:rsidR="00481828">
        <w:rPr>
          <w:rFonts w:ascii="Arial" w:hAnsi="Arial" w:cs="Arial"/>
          <w:szCs w:val="24"/>
        </w:rPr>
        <w:t>.</w:t>
      </w:r>
    </w:p>
    <w:p w14:paraId="3751BDFE" w14:textId="77777777" w:rsidR="00AB0B7B" w:rsidRDefault="00AB0B7B" w:rsidP="00481828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Develop and strengthen relationships with customers, key </w:t>
      </w:r>
      <w:proofErr w:type="gramStart"/>
      <w:r>
        <w:rPr>
          <w:rFonts w:ascii="Arial" w:hAnsi="Arial" w:cs="Arial"/>
          <w:szCs w:val="24"/>
        </w:rPr>
        <w:t>stakeholders</w:t>
      </w:r>
      <w:proofErr w:type="gramEnd"/>
      <w:r>
        <w:rPr>
          <w:rFonts w:ascii="Arial" w:hAnsi="Arial" w:cs="Arial"/>
          <w:szCs w:val="24"/>
        </w:rPr>
        <w:t xml:space="preserve"> and partners</w:t>
      </w:r>
      <w:r w:rsidR="00481828">
        <w:rPr>
          <w:rFonts w:ascii="Arial" w:hAnsi="Arial" w:cs="Arial"/>
          <w:szCs w:val="24"/>
        </w:rPr>
        <w:t>.</w:t>
      </w:r>
    </w:p>
    <w:p w14:paraId="55F299B5" w14:textId="77777777" w:rsidR="00AB0B7B" w:rsidRPr="00C27A74" w:rsidRDefault="00AB0B7B" w:rsidP="00481828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Deliver targeted programmes which support and enhance the physical and mental health and wellbeing of the </w:t>
      </w:r>
      <w:proofErr w:type="gramStart"/>
      <w:r>
        <w:rPr>
          <w:rFonts w:ascii="Arial" w:hAnsi="Arial" w:cs="Arial"/>
          <w:szCs w:val="24"/>
        </w:rPr>
        <w:t>population</w:t>
      </w:r>
      <w:proofErr w:type="gramEnd"/>
      <w:r>
        <w:rPr>
          <w:rFonts w:ascii="Arial" w:hAnsi="Arial" w:cs="Arial"/>
          <w:szCs w:val="24"/>
        </w:rPr>
        <w:t xml:space="preserve"> and which contribute to the prevention agenda.</w:t>
      </w:r>
    </w:p>
    <w:p w14:paraId="56FF85D3" w14:textId="77777777" w:rsidR="00876C5C" w:rsidRPr="00C27A74" w:rsidRDefault="00876C5C" w:rsidP="00876C5C">
      <w:pPr>
        <w:rPr>
          <w:rFonts w:ascii="Arial" w:hAnsi="Arial" w:cs="Arial"/>
          <w:szCs w:val="24"/>
        </w:rPr>
      </w:pPr>
    </w:p>
    <w:p w14:paraId="23BDDE06" w14:textId="77777777" w:rsidR="00876C5C" w:rsidRPr="00C27A74" w:rsidRDefault="00876C5C" w:rsidP="00876C5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Corporate Values</w:t>
      </w:r>
    </w:p>
    <w:p w14:paraId="45FB5503" w14:textId="77777777" w:rsidR="00876C5C" w:rsidRPr="00C27A74" w:rsidRDefault="00876C5C" w:rsidP="00876C5C">
      <w:pPr>
        <w:rPr>
          <w:rFonts w:ascii="Arial" w:hAnsi="Arial" w:cs="Arial"/>
          <w:szCs w:val="24"/>
        </w:rPr>
      </w:pPr>
    </w:p>
    <w:p w14:paraId="55F91CD8" w14:textId="77777777" w:rsidR="00876C5C" w:rsidRDefault="00876C5C" w:rsidP="00481828">
      <w:pPr>
        <w:jc w:val="both"/>
        <w:rPr>
          <w:rFonts w:ascii="Arial" w:hAnsi="Arial" w:cs="Arial"/>
          <w:szCs w:val="24"/>
        </w:rPr>
      </w:pPr>
      <w:r w:rsidRPr="00B5584F">
        <w:rPr>
          <w:rFonts w:ascii="Arial" w:hAnsi="Arial" w:cs="Arial"/>
          <w:szCs w:val="24"/>
        </w:rPr>
        <w:t xml:space="preserve">HLH’s ambition is to be </w:t>
      </w:r>
      <w:r w:rsidR="00AB0B7B">
        <w:rPr>
          <w:rFonts w:ascii="Arial" w:hAnsi="Arial" w:cs="Arial"/>
          <w:szCs w:val="24"/>
        </w:rPr>
        <w:t>recognised</w:t>
      </w:r>
      <w:r w:rsidR="00286A87">
        <w:rPr>
          <w:rFonts w:ascii="Arial" w:hAnsi="Arial" w:cs="Arial"/>
          <w:szCs w:val="24"/>
        </w:rPr>
        <w:t xml:space="preserve"> and respected as the leading organisation for developing</w:t>
      </w:r>
      <w:r w:rsidR="00AB0B7B">
        <w:rPr>
          <w:rFonts w:ascii="Arial" w:hAnsi="Arial" w:cs="Arial"/>
          <w:szCs w:val="24"/>
        </w:rPr>
        <w:t>,</w:t>
      </w:r>
      <w:r w:rsidR="00286A87">
        <w:rPr>
          <w:rFonts w:ascii="Arial" w:hAnsi="Arial" w:cs="Arial"/>
          <w:szCs w:val="24"/>
        </w:rPr>
        <w:t xml:space="preserve"> </w:t>
      </w:r>
      <w:proofErr w:type="gramStart"/>
      <w:r w:rsidR="00286A87">
        <w:rPr>
          <w:rFonts w:ascii="Arial" w:hAnsi="Arial" w:cs="Arial"/>
          <w:szCs w:val="24"/>
        </w:rPr>
        <w:t>promoting</w:t>
      </w:r>
      <w:proofErr w:type="gramEnd"/>
      <w:r w:rsidR="00286A87">
        <w:rPr>
          <w:rFonts w:ascii="Arial" w:hAnsi="Arial" w:cs="Arial"/>
          <w:szCs w:val="24"/>
        </w:rPr>
        <w:t xml:space="preserve"> </w:t>
      </w:r>
      <w:r w:rsidR="00AB0B7B">
        <w:rPr>
          <w:rFonts w:ascii="Arial" w:hAnsi="Arial" w:cs="Arial"/>
          <w:szCs w:val="24"/>
        </w:rPr>
        <w:t xml:space="preserve">and inspiring </w:t>
      </w:r>
      <w:r w:rsidR="00286A87">
        <w:rPr>
          <w:rFonts w:ascii="Arial" w:hAnsi="Arial" w:cs="Arial"/>
          <w:szCs w:val="24"/>
        </w:rPr>
        <w:t xml:space="preserve">opportunities in culture, learning, </w:t>
      </w:r>
      <w:r w:rsidRPr="00B5584F">
        <w:rPr>
          <w:rFonts w:ascii="Arial" w:hAnsi="Arial" w:cs="Arial"/>
          <w:szCs w:val="24"/>
        </w:rPr>
        <w:t>sport, leisure, health and wellbeing</w:t>
      </w:r>
      <w:r w:rsidR="00286A87">
        <w:rPr>
          <w:rFonts w:ascii="Arial" w:hAnsi="Arial" w:cs="Arial"/>
          <w:szCs w:val="24"/>
        </w:rPr>
        <w:t xml:space="preserve"> and to grow the business in a sustainable </w:t>
      </w:r>
      <w:r w:rsidR="00AB0B7B">
        <w:rPr>
          <w:rFonts w:ascii="Arial" w:hAnsi="Arial" w:cs="Arial"/>
          <w:szCs w:val="24"/>
        </w:rPr>
        <w:t xml:space="preserve">and innovative </w:t>
      </w:r>
      <w:r w:rsidR="00286A87">
        <w:rPr>
          <w:rFonts w:ascii="Arial" w:hAnsi="Arial" w:cs="Arial"/>
          <w:szCs w:val="24"/>
        </w:rPr>
        <w:t xml:space="preserve">way by </w:t>
      </w:r>
      <w:r w:rsidR="00AB0B7B">
        <w:rPr>
          <w:rFonts w:ascii="Arial" w:hAnsi="Arial" w:cs="Arial"/>
          <w:szCs w:val="24"/>
        </w:rPr>
        <w:t xml:space="preserve">enabling and </w:t>
      </w:r>
      <w:proofErr w:type="spellStart"/>
      <w:r w:rsidR="00AB0B7B">
        <w:rPr>
          <w:rFonts w:ascii="Arial" w:hAnsi="Arial" w:cs="Arial"/>
          <w:szCs w:val="24"/>
        </w:rPr>
        <w:t>faciitating</w:t>
      </w:r>
      <w:proofErr w:type="spellEnd"/>
      <w:r w:rsidR="00286A87">
        <w:rPr>
          <w:rFonts w:ascii="Arial" w:hAnsi="Arial" w:cs="Arial"/>
          <w:szCs w:val="24"/>
        </w:rPr>
        <w:t xml:space="preserve"> services that the public value and by being </w:t>
      </w:r>
      <w:r w:rsidR="00AB0B7B">
        <w:rPr>
          <w:rFonts w:ascii="Arial" w:hAnsi="Arial" w:cs="Arial"/>
          <w:szCs w:val="24"/>
        </w:rPr>
        <w:t>valued a</w:t>
      </w:r>
      <w:r w:rsidR="00286A87">
        <w:rPr>
          <w:rFonts w:ascii="Arial" w:hAnsi="Arial" w:cs="Arial"/>
          <w:szCs w:val="24"/>
        </w:rPr>
        <w:t xml:space="preserve">s a trusted </w:t>
      </w:r>
      <w:r w:rsidR="00AB0B7B">
        <w:rPr>
          <w:rFonts w:ascii="Arial" w:hAnsi="Arial" w:cs="Arial"/>
          <w:szCs w:val="24"/>
        </w:rPr>
        <w:t xml:space="preserve">and effective </w:t>
      </w:r>
      <w:r w:rsidR="00286A87">
        <w:rPr>
          <w:rFonts w:ascii="Arial" w:hAnsi="Arial" w:cs="Arial"/>
          <w:szCs w:val="24"/>
        </w:rPr>
        <w:t>partner</w:t>
      </w:r>
      <w:r w:rsidRPr="00B5584F">
        <w:rPr>
          <w:rFonts w:ascii="Arial" w:hAnsi="Arial" w:cs="Arial"/>
          <w:szCs w:val="24"/>
        </w:rPr>
        <w:t xml:space="preserve">. </w:t>
      </w:r>
      <w:r w:rsidR="00286A8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It </w:t>
      </w:r>
      <w:r w:rsidRPr="00B5584F">
        <w:rPr>
          <w:rFonts w:ascii="Arial" w:hAnsi="Arial" w:cs="Arial"/>
          <w:szCs w:val="24"/>
        </w:rPr>
        <w:t xml:space="preserve">has the following core values: </w:t>
      </w:r>
    </w:p>
    <w:p w14:paraId="50D4729E" w14:textId="77777777" w:rsidR="00C87CA8" w:rsidRPr="00B5584F" w:rsidRDefault="00C87CA8" w:rsidP="00876C5C">
      <w:pPr>
        <w:rPr>
          <w:rFonts w:ascii="Arial" w:hAnsi="Arial" w:cs="Arial"/>
          <w:szCs w:val="24"/>
        </w:rPr>
      </w:pPr>
    </w:p>
    <w:p w14:paraId="013E03AD" w14:textId="77777777" w:rsidR="00876C5C" w:rsidRDefault="00876C5C" w:rsidP="00876C5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4F">
        <w:rPr>
          <w:rFonts w:ascii="Arial" w:hAnsi="Arial" w:cs="Arial"/>
          <w:sz w:val="24"/>
          <w:szCs w:val="24"/>
        </w:rPr>
        <w:t xml:space="preserve">To act </w:t>
      </w:r>
      <w:r w:rsidR="00AB0B7B">
        <w:rPr>
          <w:rFonts w:ascii="Arial" w:hAnsi="Arial" w:cs="Arial"/>
          <w:sz w:val="24"/>
          <w:szCs w:val="24"/>
        </w:rPr>
        <w:t xml:space="preserve">ethically, </w:t>
      </w:r>
      <w:proofErr w:type="gramStart"/>
      <w:r w:rsidRPr="00B5584F">
        <w:rPr>
          <w:rFonts w:ascii="Arial" w:hAnsi="Arial" w:cs="Arial"/>
          <w:sz w:val="24"/>
          <w:szCs w:val="24"/>
        </w:rPr>
        <w:t>legally</w:t>
      </w:r>
      <w:proofErr w:type="gramEnd"/>
      <w:r w:rsidR="00AB0B7B">
        <w:rPr>
          <w:rFonts w:ascii="Arial" w:hAnsi="Arial" w:cs="Arial"/>
          <w:sz w:val="24"/>
          <w:szCs w:val="24"/>
        </w:rPr>
        <w:t xml:space="preserve"> and safely</w:t>
      </w:r>
    </w:p>
    <w:p w14:paraId="431FA305" w14:textId="77777777" w:rsidR="00AB0B7B" w:rsidRPr="00B5584F" w:rsidRDefault="00AB0B7B" w:rsidP="00876C5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provide quality services, important to individuals and communities</w:t>
      </w:r>
    </w:p>
    <w:p w14:paraId="2FBDBFE0" w14:textId="77777777" w:rsidR="00876C5C" w:rsidRDefault="00876C5C" w:rsidP="00AB0B7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84F">
        <w:rPr>
          <w:rFonts w:ascii="Arial" w:hAnsi="Arial" w:cs="Arial"/>
          <w:sz w:val="24"/>
          <w:szCs w:val="24"/>
        </w:rPr>
        <w:t>To b</w:t>
      </w:r>
      <w:r w:rsidR="00AB0B7B">
        <w:rPr>
          <w:rFonts w:ascii="Arial" w:hAnsi="Arial" w:cs="Arial"/>
          <w:sz w:val="24"/>
          <w:szCs w:val="24"/>
        </w:rPr>
        <w:t>alance community, social and financial objectives</w:t>
      </w:r>
    </w:p>
    <w:p w14:paraId="1D76B723" w14:textId="77777777" w:rsidR="00AB0B7B" w:rsidRDefault="00AB0B7B" w:rsidP="00AB0B7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encourage and enable innovation and </w:t>
      </w:r>
      <w:proofErr w:type="gramStart"/>
      <w:r>
        <w:rPr>
          <w:rFonts w:ascii="Arial" w:hAnsi="Arial" w:cs="Arial"/>
          <w:sz w:val="24"/>
          <w:szCs w:val="24"/>
        </w:rPr>
        <w:t>entrepreneurship</w:t>
      </w:r>
      <w:proofErr w:type="gramEnd"/>
    </w:p>
    <w:p w14:paraId="6E5C8D7B" w14:textId="77777777" w:rsidR="00AB0B7B" w:rsidRDefault="00AB0B7B" w:rsidP="00AB0B7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continue to be a good employer and partner</w:t>
      </w:r>
    </w:p>
    <w:p w14:paraId="6FACAABB" w14:textId="77777777" w:rsidR="00AB0B7B" w:rsidRDefault="00C87CA8" w:rsidP="00AB0B7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reduce the </w:t>
      </w:r>
      <w:proofErr w:type="gramStart"/>
      <w:r>
        <w:rPr>
          <w:rFonts w:ascii="Arial" w:hAnsi="Arial" w:cs="Arial"/>
          <w:sz w:val="24"/>
          <w:szCs w:val="24"/>
        </w:rPr>
        <w:t>environmental  impact</w:t>
      </w:r>
      <w:proofErr w:type="gramEnd"/>
      <w:r>
        <w:rPr>
          <w:rFonts w:ascii="Arial" w:hAnsi="Arial" w:cs="Arial"/>
          <w:sz w:val="24"/>
          <w:szCs w:val="24"/>
        </w:rPr>
        <w:t xml:space="preserve"> of the organisation</w:t>
      </w:r>
    </w:p>
    <w:p w14:paraId="4E1EBC4C" w14:textId="77777777" w:rsidR="00C87CA8" w:rsidRPr="00AB0B7B" w:rsidRDefault="00C87CA8" w:rsidP="00AB0B7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contribute to achieving zero carbon targets.</w:t>
      </w:r>
    </w:p>
    <w:p w14:paraId="0C2A8CE6" w14:textId="77777777" w:rsidR="00286A87" w:rsidRPr="00B5584F" w:rsidRDefault="00286A87" w:rsidP="00286A87">
      <w:pPr>
        <w:ind w:left="720"/>
        <w:rPr>
          <w:rFonts w:ascii="Arial" w:hAnsi="Arial" w:cs="Arial"/>
          <w:i/>
          <w:szCs w:val="24"/>
        </w:rPr>
      </w:pPr>
    </w:p>
    <w:p w14:paraId="50CBDB8F" w14:textId="77777777" w:rsidR="004D1915" w:rsidRDefault="00876C5C" w:rsidP="00ED433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Pr="00876C5C">
        <w:rPr>
          <w:rFonts w:ascii="Arial" w:hAnsi="Arial" w:cs="Arial"/>
          <w:szCs w:val="24"/>
        </w:rPr>
        <w:t xml:space="preserve">stablishing a positive company ethos, where staff at all levels exhibit positive </w:t>
      </w:r>
      <w:proofErr w:type="spellStart"/>
      <w:r w:rsidR="007D41B5">
        <w:rPr>
          <w:rFonts w:ascii="Arial" w:hAnsi="Arial" w:cs="Arial"/>
          <w:szCs w:val="24"/>
        </w:rPr>
        <w:t>i</w:t>
      </w:r>
      <w:proofErr w:type="spellEnd"/>
      <w:r w:rsidR="007D41B5">
        <w:rPr>
          <w:rFonts w:ascii="Arial" w:hAnsi="Arial" w:cs="Arial"/>
          <w:szCs w:val="24"/>
        </w:rPr>
        <w:t>-care</w:t>
      </w:r>
      <w:r w:rsidRPr="00876C5C">
        <w:rPr>
          <w:rFonts w:ascii="Arial" w:hAnsi="Arial" w:cs="Arial"/>
          <w:szCs w:val="24"/>
        </w:rPr>
        <w:t xml:space="preserve"> </w:t>
      </w:r>
      <w:r w:rsidR="007D41B5">
        <w:rPr>
          <w:rFonts w:ascii="Arial" w:hAnsi="Arial" w:cs="Arial"/>
          <w:szCs w:val="24"/>
        </w:rPr>
        <w:t xml:space="preserve">behaviour (integrity, community, accountability, respect, example) </w:t>
      </w:r>
      <w:r w:rsidRPr="00876C5C">
        <w:rPr>
          <w:rFonts w:ascii="Arial" w:hAnsi="Arial" w:cs="Arial"/>
          <w:szCs w:val="24"/>
        </w:rPr>
        <w:t>is a vital tool to</w:t>
      </w:r>
      <w:r w:rsidR="00482E84">
        <w:rPr>
          <w:rFonts w:ascii="Arial" w:hAnsi="Arial" w:cs="Arial"/>
          <w:szCs w:val="24"/>
        </w:rPr>
        <w:t>: (</w:t>
      </w:r>
      <w:proofErr w:type="spellStart"/>
      <w:r w:rsidR="00482E84">
        <w:rPr>
          <w:rFonts w:ascii="Arial" w:hAnsi="Arial" w:cs="Arial"/>
          <w:szCs w:val="24"/>
        </w:rPr>
        <w:t>i</w:t>
      </w:r>
      <w:proofErr w:type="spellEnd"/>
      <w:r w:rsidR="00482E84">
        <w:rPr>
          <w:rFonts w:ascii="Arial" w:hAnsi="Arial" w:cs="Arial"/>
          <w:szCs w:val="24"/>
        </w:rPr>
        <w:t xml:space="preserve">) </w:t>
      </w:r>
      <w:r w:rsidRPr="00876C5C">
        <w:rPr>
          <w:rFonts w:ascii="Arial" w:hAnsi="Arial" w:cs="Arial"/>
          <w:szCs w:val="24"/>
        </w:rPr>
        <w:t>ensure the positive consolidation of the company</w:t>
      </w:r>
      <w:r w:rsidR="00482E84">
        <w:rPr>
          <w:rFonts w:ascii="Arial" w:hAnsi="Arial" w:cs="Arial"/>
          <w:szCs w:val="24"/>
        </w:rPr>
        <w:t>;</w:t>
      </w:r>
      <w:r w:rsidRPr="00876C5C">
        <w:rPr>
          <w:rFonts w:ascii="Arial" w:hAnsi="Arial" w:cs="Arial"/>
          <w:szCs w:val="24"/>
        </w:rPr>
        <w:t xml:space="preserve"> and </w:t>
      </w:r>
      <w:r w:rsidR="00482E84">
        <w:rPr>
          <w:rFonts w:ascii="Arial" w:hAnsi="Arial" w:cs="Arial"/>
          <w:szCs w:val="24"/>
        </w:rPr>
        <w:t xml:space="preserve">(ii) </w:t>
      </w:r>
      <w:r w:rsidRPr="00876C5C">
        <w:rPr>
          <w:rFonts w:ascii="Arial" w:hAnsi="Arial" w:cs="Arial"/>
          <w:szCs w:val="24"/>
        </w:rPr>
        <w:t xml:space="preserve">as a focus on the importance of the users of services. </w:t>
      </w:r>
    </w:p>
    <w:p w14:paraId="658776CA" w14:textId="77777777" w:rsidR="004D1915" w:rsidRDefault="004D1915" w:rsidP="00ED433E">
      <w:pPr>
        <w:jc w:val="both"/>
        <w:rPr>
          <w:rFonts w:ascii="Arial" w:hAnsi="Arial" w:cs="Arial"/>
          <w:szCs w:val="24"/>
        </w:rPr>
      </w:pPr>
    </w:p>
    <w:p w14:paraId="1EF5204E" w14:textId="157D2315" w:rsidR="004D1915" w:rsidRDefault="004D1915" w:rsidP="00ED433E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  <w:proofErr w:type="spellStart"/>
      <w:r>
        <w:rPr>
          <w:rFonts w:ascii="Arial" w:hAnsi="Arial" w:cs="Arial"/>
          <w:b/>
          <w:bCs/>
          <w:szCs w:val="24"/>
        </w:rPr>
        <w:lastRenderedPageBreak/>
        <w:t>i</w:t>
      </w:r>
      <w:proofErr w:type="spellEnd"/>
      <w:r>
        <w:rPr>
          <w:rFonts w:ascii="Arial" w:hAnsi="Arial" w:cs="Arial"/>
          <w:b/>
          <w:bCs/>
          <w:szCs w:val="24"/>
        </w:rPr>
        <w:t>-care People Values</w:t>
      </w:r>
    </w:p>
    <w:p w14:paraId="3604CFD5" w14:textId="77777777" w:rsidR="004D1915" w:rsidRDefault="004D1915" w:rsidP="00ED433E">
      <w:pPr>
        <w:jc w:val="both"/>
        <w:rPr>
          <w:rFonts w:ascii="Arial" w:hAnsi="Arial" w:cs="Arial"/>
          <w:b/>
          <w:bCs/>
          <w:szCs w:val="24"/>
        </w:rPr>
      </w:pPr>
    </w:p>
    <w:p w14:paraId="576C0C80" w14:textId="00CC1040" w:rsidR="0039450A" w:rsidRPr="00C27A74" w:rsidRDefault="004D1915" w:rsidP="00ED433E">
      <w:pPr>
        <w:jc w:val="both"/>
        <w:rPr>
          <w:rFonts w:ascii="Arial" w:hAnsi="Arial" w:cs="Arial"/>
          <w:szCs w:val="24"/>
        </w:rPr>
      </w:pPr>
      <w:r w:rsidRPr="00497BAF">
        <w:rPr>
          <w:noProof/>
        </w:rPr>
        <w:drawing>
          <wp:inline distT="0" distB="0" distL="0" distR="0" wp14:anchorId="337CB4DA" wp14:editId="0978F7EE">
            <wp:extent cx="5734050" cy="81057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50A" w:rsidRPr="00C27A74">
        <w:rPr>
          <w:rFonts w:ascii="Arial" w:hAnsi="Arial" w:cs="Arial"/>
          <w:szCs w:val="24"/>
        </w:rPr>
        <w:fldChar w:fldCharType="begin"/>
      </w:r>
      <w:r w:rsidR="0039450A" w:rsidRPr="00C27A74">
        <w:rPr>
          <w:rFonts w:ascii="Arial" w:hAnsi="Arial" w:cs="Arial"/>
          <w:szCs w:val="24"/>
        </w:rPr>
        <w:instrText xml:space="preserve">  </w:instrText>
      </w:r>
      <w:r w:rsidR="0039450A" w:rsidRPr="00C27A74">
        <w:rPr>
          <w:rFonts w:ascii="Arial" w:hAnsi="Arial" w:cs="Arial"/>
          <w:szCs w:val="24"/>
        </w:rPr>
        <w:fldChar w:fldCharType="end"/>
      </w:r>
    </w:p>
    <w:sectPr w:rsidR="0039450A" w:rsidRPr="00C27A74" w:rsidSect="00F27A04">
      <w:pgSz w:w="11906" w:h="16838"/>
      <w:pgMar w:top="851" w:right="1133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90361" w14:textId="77777777" w:rsidR="00230B61" w:rsidRDefault="00230B61">
      <w:r>
        <w:separator/>
      </w:r>
    </w:p>
  </w:endnote>
  <w:endnote w:type="continuationSeparator" w:id="0">
    <w:p w14:paraId="5975E196" w14:textId="77777777" w:rsidR="00230B61" w:rsidRDefault="002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32C2D" w14:textId="77777777" w:rsidR="00230B61" w:rsidRDefault="00230B61">
      <w:r>
        <w:separator/>
      </w:r>
    </w:p>
  </w:footnote>
  <w:footnote w:type="continuationSeparator" w:id="0">
    <w:p w14:paraId="7F37AE2A" w14:textId="77777777" w:rsidR="00230B61" w:rsidRDefault="00230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A46D0"/>
    <w:multiLevelType w:val="hybridMultilevel"/>
    <w:tmpl w:val="FDEE4472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1E30BF"/>
    <w:multiLevelType w:val="hybridMultilevel"/>
    <w:tmpl w:val="AC7CA8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42D93"/>
    <w:multiLevelType w:val="hybridMultilevel"/>
    <w:tmpl w:val="3246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4063A"/>
    <w:multiLevelType w:val="hybridMultilevel"/>
    <w:tmpl w:val="876A5D2E"/>
    <w:lvl w:ilvl="0" w:tplc="33FEF87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F93686"/>
    <w:multiLevelType w:val="hybridMultilevel"/>
    <w:tmpl w:val="C69A8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F7412"/>
    <w:multiLevelType w:val="hybridMultilevel"/>
    <w:tmpl w:val="39DAF1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60D5C"/>
    <w:multiLevelType w:val="hybridMultilevel"/>
    <w:tmpl w:val="4A58A3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A1F86"/>
    <w:multiLevelType w:val="hybridMultilevel"/>
    <w:tmpl w:val="FDEE4472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3BA4255"/>
    <w:multiLevelType w:val="hybridMultilevel"/>
    <w:tmpl w:val="FDEE4472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7DB2D11"/>
    <w:multiLevelType w:val="hybridMultilevel"/>
    <w:tmpl w:val="338A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63791"/>
    <w:multiLevelType w:val="hybridMultilevel"/>
    <w:tmpl w:val="EFEA7D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2A467D"/>
    <w:multiLevelType w:val="hybridMultilevel"/>
    <w:tmpl w:val="4306B8DA"/>
    <w:lvl w:ilvl="0" w:tplc="1D1AE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449F6"/>
    <w:multiLevelType w:val="multilevel"/>
    <w:tmpl w:val="2A60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B7E00EE"/>
    <w:multiLevelType w:val="hybridMultilevel"/>
    <w:tmpl w:val="410CB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65505"/>
    <w:multiLevelType w:val="hybridMultilevel"/>
    <w:tmpl w:val="E4F2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39994">
    <w:abstractNumId w:val="12"/>
  </w:num>
  <w:num w:numId="2" w16cid:durableId="936865874">
    <w:abstractNumId w:val="6"/>
  </w:num>
  <w:num w:numId="3" w16cid:durableId="1094088801">
    <w:abstractNumId w:val="5"/>
  </w:num>
  <w:num w:numId="4" w16cid:durableId="39060495">
    <w:abstractNumId w:val="1"/>
  </w:num>
  <w:num w:numId="5" w16cid:durableId="1664746479">
    <w:abstractNumId w:val="2"/>
  </w:num>
  <w:num w:numId="6" w16cid:durableId="228807105">
    <w:abstractNumId w:val="13"/>
  </w:num>
  <w:num w:numId="7" w16cid:durableId="286589251">
    <w:abstractNumId w:val="3"/>
  </w:num>
  <w:num w:numId="8" w16cid:durableId="644047769">
    <w:abstractNumId w:val="11"/>
  </w:num>
  <w:num w:numId="9" w16cid:durableId="907695016">
    <w:abstractNumId w:val="9"/>
  </w:num>
  <w:num w:numId="10" w16cid:durableId="684743397">
    <w:abstractNumId w:val="10"/>
  </w:num>
  <w:num w:numId="11" w16cid:durableId="1199471541">
    <w:abstractNumId w:val="14"/>
  </w:num>
  <w:num w:numId="12" w16cid:durableId="282738420">
    <w:abstractNumId w:val="8"/>
  </w:num>
  <w:num w:numId="13" w16cid:durableId="1305043732">
    <w:abstractNumId w:val="7"/>
  </w:num>
  <w:num w:numId="14" w16cid:durableId="1075324085">
    <w:abstractNumId w:val="0"/>
  </w:num>
  <w:num w:numId="15" w16cid:durableId="1638802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0A"/>
    <w:rsid w:val="000521C2"/>
    <w:rsid w:val="00054DE1"/>
    <w:rsid w:val="000944E7"/>
    <w:rsid w:val="000E0FBB"/>
    <w:rsid w:val="000E707F"/>
    <w:rsid w:val="000F274B"/>
    <w:rsid w:val="000F6071"/>
    <w:rsid w:val="001072B4"/>
    <w:rsid w:val="00164A95"/>
    <w:rsid w:val="001C4F69"/>
    <w:rsid w:val="001C62A1"/>
    <w:rsid w:val="001D1D38"/>
    <w:rsid w:val="00230B61"/>
    <w:rsid w:val="00286A87"/>
    <w:rsid w:val="002A2EE9"/>
    <w:rsid w:val="002A5F9D"/>
    <w:rsid w:val="002B7DC4"/>
    <w:rsid w:val="0039450A"/>
    <w:rsid w:val="003D6363"/>
    <w:rsid w:val="003E5EE2"/>
    <w:rsid w:val="00416BFF"/>
    <w:rsid w:val="00421481"/>
    <w:rsid w:val="00481828"/>
    <w:rsid w:val="00482E84"/>
    <w:rsid w:val="004D1915"/>
    <w:rsid w:val="00507B53"/>
    <w:rsid w:val="0051674B"/>
    <w:rsid w:val="0059426B"/>
    <w:rsid w:val="005E23D5"/>
    <w:rsid w:val="0067538A"/>
    <w:rsid w:val="00707C87"/>
    <w:rsid w:val="007214D1"/>
    <w:rsid w:val="00723EAC"/>
    <w:rsid w:val="0074360E"/>
    <w:rsid w:val="007B2735"/>
    <w:rsid w:val="007D41B5"/>
    <w:rsid w:val="00825FD9"/>
    <w:rsid w:val="00876C5C"/>
    <w:rsid w:val="008A1F14"/>
    <w:rsid w:val="008F4013"/>
    <w:rsid w:val="008F5A22"/>
    <w:rsid w:val="00991D81"/>
    <w:rsid w:val="00996426"/>
    <w:rsid w:val="009D376D"/>
    <w:rsid w:val="00A25107"/>
    <w:rsid w:val="00A47A09"/>
    <w:rsid w:val="00A8159A"/>
    <w:rsid w:val="00AB0B7B"/>
    <w:rsid w:val="00AD0D67"/>
    <w:rsid w:val="00AF02B6"/>
    <w:rsid w:val="00AF485D"/>
    <w:rsid w:val="00B4511E"/>
    <w:rsid w:val="00B5584F"/>
    <w:rsid w:val="00B56CDC"/>
    <w:rsid w:val="00B84929"/>
    <w:rsid w:val="00BE4667"/>
    <w:rsid w:val="00C119B3"/>
    <w:rsid w:val="00C16ED1"/>
    <w:rsid w:val="00C226DB"/>
    <w:rsid w:val="00C27A74"/>
    <w:rsid w:val="00C73684"/>
    <w:rsid w:val="00C8005D"/>
    <w:rsid w:val="00C87CA8"/>
    <w:rsid w:val="00D57CDF"/>
    <w:rsid w:val="00D658D1"/>
    <w:rsid w:val="00DB3601"/>
    <w:rsid w:val="00DC579D"/>
    <w:rsid w:val="00DE1E6C"/>
    <w:rsid w:val="00DE5F32"/>
    <w:rsid w:val="00E0118D"/>
    <w:rsid w:val="00E345B1"/>
    <w:rsid w:val="00E630A0"/>
    <w:rsid w:val="00ED433E"/>
    <w:rsid w:val="00EF50F5"/>
    <w:rsid w:val="00F27A04"/>
    <w:rsid w:val="00F5299D"/>
    <w:rsid w:val="00FA053D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6B8B1"/>
  <w15:chartTrackingRefBased/>
  <w15:docId w15:val="{B8FB7A95-A11A-4DDC-9DC9-7D9C7545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39450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D6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55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mmon\REPORTS%20FOR%20ED,%20CUL%20&amp;SP%20CMTTE\2011\repor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5" ma:contentTypeDescription="Create a new document." ma:contentTypeScope="" ma:versionID="8da59ef913c1446302c3f2eb26325543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9a4d53ca327dbc9cfcd04959558b5226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F630C-EF96-4943-970B-787BFEB6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4d70-2a13-4ef6-81dd-46a0748d05f7"/>
    <ds:schemaRef ds:uri="8ad5fbb2-2192-4c06-97aa-b19be9df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BB984-E76B-4410-8886-29E2E2B0A81E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customXml/itemProps3.xml><?xml version="1.0" encoding="utf-8"?>
<ds:datastoreItem xmlns:ds="http://schemas.openxmlformats.org/officeDocument/2006/customXml" ds:itemID="{EFCA444B-162B-4EAD-8522-676B83D76B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report-template</Template>
  <TotalTime>5</TotalTime>
  <Pages>3</Pages>
  <Words>420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.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subject/>
  <dc:creator>donnamd</dc:creator>
  <cp:keywords/>
  <cp:lastModifiedBy>Jackie MacKenzie (HLH Corporate Services)</cp:lastModifiedBy>
  <cp:revision>5</cp:revision>
  <cp:lastPrinted>2012-09-17T07:17:00Z</cp:lastPrinted>
  <dcterms:created xsi:type="dcterms:W3CDTF">2024-07-03T15:42:00Z</dcterms:created>
  <dcterms:modified xsi:type="dcterms:W3CDTF">2024-07-10T14:52:00Z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444465661</vt:i4>
  </property>
  <property fmtid="{D5CDD505-2E9C-101B-9397-08002B2CF9AE}" pid="3" name="_NewReviewCycle">
    <vt:lpwstr/>
  </property>
  <property fmtid="{D5CDD505-2E9C-101B-9397-08002B2CF9AE}" pid="4" name="_EmailSubject">
    <vt:lpwstr>Purpose Key Business Objectives and Corporate Values</vt:lpwstr>
  </property>
  <property fmtid="{D5CDD505-2E9C-101B-9397-08002B2CF9AE}" pid="5" name="_AuthorEmail">
    <vt:lpwstr>Douglas.Wilby@highlifehighland.com</vt:lpwstr>
  </property>
  <property fmtid="{D5CDD505-2E9C-101B-9397-08002B2CF9AE}" pid="6" name="_AuthorEmailDisplayName">
    <vt:lpwstr>Douglas Wilby</vt:lpwstr>
  </property>
  <property fmtid="{D5CDD505-2E9C-101B-9397-08002B2CF9AE}" pid="7" name="_ReviewingToolsShownOnce">
    <vt:lpwstr/>
  </property>
  <property fmtid="{D5CDD505-2E9C-101B-9397-08002B2CF9AE}" pid="8" name="ContentTypeId">
    <vt:lpwstr>0x01010075AB708E42E7E345B8456CCFC18D9783</vt:lpwstr>
  </property>
  <property fmtid="{D5CDD505-2E9C-101B-9397-08002B2CF9AE}" pid="9" name="MediaServiceImageTags">
    <vt:lpwstr/>
  </property>
</Properties>
</file>